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A9C89" w14:textId="77777777" w:rsidR="008C6701" w:rsidRDefault="008C6701" w:rsidP="008C6701">
      <w:pPr>
        <w:pStyle w:val="Heading3"/>
      </w:pPr>
      <w:r>
        <w:t>Top 10 GO Biological Process Gene Sets Ranked by Potency of Perturbation (Sorted by BMD Median)</w:t>
      </w:r>
    </w:p>
    <w:tbl>
      <w:tblPr>
        <w:tblW w:w="0" w:type="auto"/>
        <w:tblLook w:val="04A0" w:firstRow="1" w:lastRow="0" w:firstColumn="1" w:lastColumn="0" w:noHBand="0" w:noVBand="1"/>
      </w:tblPr>
      <w:tblGrid>
        <w:gridCol w:w="1465"/>
        <w:gridCol w:w="1639"/>
        <w:gridCol w:w="1030"/>
        <w:gridCol w:w="858"/>
        <w:gridCol w:w="1195"/>
        <w:gridCol w:w="1131"/>
        <w:gridCol w:w="1021"/>
        <w:gridCol w:w="1021"/>
      </w:tblGrid>
      <w:tr w:rsidR="008C6701" w14:paraId="3843F7F3" w14:textId="77777777" w:rsidTr="008C6701">
        <w:tc>
          <w:tcPr>
            <w:tcW w:w="8640" w:type="dxa"/>
            <w:tcBorders>
              <w:top w:val="single" w:sz="2" w:space="0" w:color="000000"/>
              <w:left w:val="nil"/>
              <w:bottom w:val="single" w:sz="2" w:space="0" w:color="000000"/>
              <w:right w:val="nil"/>
            </w:tcBorders>
            <w:vAlign w:val="center"/>
            <w:hideMark/>
          </w:tcPr>
          <w:p w14:paraId="5B042EA7" w14:textId="77777777" w:rsidR="008C6701" w:rsidRDefault="008C6701">
            <w:pPr>
              <w:pStyle w:val="bmdsTblBody"/>
            </w:pPr>
            <w:r>
              <w:rPr>
                <w:b/>
              </w:rPr>
              <w:t>Category Name</w:t>
            </w:r>
          </w:p>
        </w:tc>
        <w:tc>
          <w:tcPr>
            <w:tcW w:w="8640" w:type="dxa"/>
            <w:tcBorders>
              <w:top w:val="single" w:sz="2" w:space="0" w:color="000000"/>
              <w:left w:val="nil"/>
              <w:bottom w:val="single" w:sz="2" w:space="0" w:color="000000"/>
              <w:right w:val="nil"/>
            </w:tcBorders>
            <w:vAlign w:val="center"/>
            <w:hideMark/>
          </w:tcPr>
          <w:p w14:paraId="4A7E9250" w14:textId="77777777" w:rsidR="008C6701" w:rsidRDefault="008C6701">
            <w:pPr>
              <w:pStyle w:val="bmdsTblHeader"/>
              <w:jc w:val="center"/>
            </w:pPr>
            <w:r>
              <w:t>Input Genes/Platform Genes in Gene Set</w:t>
            </w:r>
          </w:p>
        </w:tc>
        <w:tc>
          <w:tcPr>
            <w:tcW w:w="3806" w:type="dxa"/>
            <w:tcBorders>
              <w:top w:val="single" w:sz="2" w:space="0" w:color="000000"/>
              <w:left w:val="nil"/>
              <w:bottom w:val="single" w:sz="2" w:space="0" w:color="000000"/>
              <w:right w:val="nil"/>
            </w:tcBorders>
            <w:vAlign w:val="center"/>
            <w:hideMark/>
          </w:tcPr>
          <w:p w14:paraId="74BFD223" w14:textId="77777777" w:rsidR="008C6701" w:rsidRDefault="008C6701">
            <w:pPr>
              <w:pStyle w:val="bmdsTblHeader"/>
              <w:jc w:val="center"/>
            </w:pPr>
            <w:r>
              <w:t>% Gene Set Coverage</w:t>
            </w:r>
          </w:p>
        </w:tc>
        <w:tc>
          <w:tcPr>
            <w:tcW w:w="3806" w:type="dxa"/>
            <w:tcBorders>
              <w:top w:val="single" w:sz="2" w:space="0" w:color="000000"/>
              <w:left w:val="nil"/>
              <w:bottom w:val="single" w:sz="2" w:space="0" w:color="000000"/>
              <w:right w:val="nil"/>
            </w:tcBorders>
            <w:vAlign w:val="center"/>
            <w:hideMark/>
          </w:tcPr>
          <w:p w14:paraId="7DED8910" w14:textId="77777777" w:rsidR="008C6701" w:rsidRDefault="008C6701">
            <w:pPr>
              <w:pStyle w:val="bmdsTblHeader"/>
              <w:jc w:val="center"/>
            </w:pPr>
            <w:r>
              <w:t>Active Genes</w:t>
            </w:r>
          </w:p>
        </w:tc>
        <w:tc>
          <w:tcPr>
            <w:tcW w:w="3806" w:type="dxa"/>
            <w:tcBorders>
              <w:top w:val="single" w:sz="2" w:space="0" w:color="000000"/>
              <w:left w:val="nil"/>
              <w:bottom w:val="single" w:sz="2" w:space="0" w:color="000000"/>
              <w:right w:val="nil"/>
            </w:tcBorders>
            <w:vAlign w:val="center"/>
            <w:hideMark/>
          </w:tcPr>
          <w:p w14:paraId="1CB030DD" w14:textId="77777777" w:rsidR="008C6701" w:rsidRDefault="008C6701">
            <w:pPr>
              <w:pStyle w:val="bmdsTblHeader"/>
              <w:jc w:val="center"/>
            </w:pPr>
            <w:proofErr w:type="spellStart"/>
            <w:r>
              <w:t>BMD</w:t>
            </w:r>
            <w:r>
              <w:rPr>
                <w:vertAlign w:val="subscript"/>
              </w:rPr>
              <w:t>1std</w:t>
            </w:r>
            <w:proofErr w:type="spellEnd"/>
            <w:r>
              <w:t xml:space="preserve"> Median of Gene Set Transcripts (mg/kg)</w:t>
            </w:r>
          </w:p>
        </w:tc>
        <w:tc>
          <w:tcPr>
            <w:tcW w:w="3806" w:type="dxa"/>
            <w:tcBorders>
              <w:top w:val="single" w:sz="2" w:space="0" w:color="000000"/>
              <w:left w:val="nil"/>
              <w:bottom w:val="single" w:sz="2" w:space="0" w:color="000000"/>
              <w:right w:val="nil"/>
            </w:tcBorders>
            <w:vAlign w:val="center"/>
            <w:hideMark/>
          </w:tcPr>
          <w:p w14:paraId="2E4F401D" w14:textId="77777777" w:rsidR="008C6701" w:rsidRDefault="008C6701">
            <w:pPr>
              <w:pStyle w:val="bmdsTblHeader"/>
              <w:jc w:val="center"/>
            </w:pPr>
            <w:r>
              <w:t xml:space="preserve">Median </w:t>
            </w:r>
            <w:proofErr w:type="spellStart"/>
            <w:r>
              <w:t>BMDL</w:t>
            </w:r>
            <w:r>
              <w:rPr>
                <w:vertAlign w:val="subscript"/>
              </w:rPr>
              <w:t>1Std</w:t>
            </w:r>
            <w:r>
              <w:t>-BMDU</w:t>
            </w:r>
            <w:r>
              <w:rPr>
                <w:vertAlign w:val="subscript"/>
              </w:rPr>
              <w:t>1Std</w:t>
            </w:r>
            <w:proofErr w:type="spellEnd"/>
            <w:r>
              <w:t xml:space="preserve"> (mg/kg)</w:t>
            </w:r>
          </w:p>
        </w:tc>
        <w:tc>
          <w:tcPr>
            <w:tcW w:w="3806" w:type="dxa"/>
            <w:tcBorders>
              <w:top w:val="single" w:sz="2" w:space="0" w:color="000000"/>
              <w:left w:val="nil"/>
              <w:bottom w:val="single" w:sz="2" w:space="0" w:color="000000"/>
              <w:right w:val="nil"/>
            </w:tcBorders>
            <w:vAlign w:val="center"/>
            <w:hideMark/>
          </w:tcPr>
          <w:p w14:paraId="315B6A5C" w14:textId="77777777" w:rsidR="008C6701" w:rsidRDefault="008C6701">
            <w:pPr>
              <w:pStyle w:val="bmdsTblHeader"/>
              <w:jc w:val="center"/>
            </w:pPr>
            <w:r>
              <w:t>Genes with Changed Direction Up</w:t>
            </w:r>
          </w:p>
        </w:tc>
        <w:tc>
          <w:tcPr>
            <w:tcW w:w="3806" w:type="dxa"/>
            <w:tcBorders>
              <w:top w:val="single" w:sz="2" w:space="0" w:color="000000"/>
              <w:left w:val="nil"/>
              <w:bottom w:val="single" w:sz="2" w:space="0" w:color="000000"/>
              <w:right w:val="nil"/>
            </w:tcBorders>
            <w:vAlign w:val="center"/>
            <w:hideMark/>
          </w:tcPr>
          <w:p w14:paraId="1B0C0C63" w14:textId="77777777" w:rsidR="008C6701" w:rsidRDefault="008C6701">
            <w:pPr>
              <w:pStyle w:val="bmdsTblHeader"/>
              <w:jc w:val="center"/>
            </w:pPr>
            <w:r>
              <w:t>Genes with Changed Direction Down</w:t>
            </w:r>
          </w:p>
        </w:tc>
      </w:tr>
      <w:tr w:rsidR="008C6701" w14:paraId="32FE49DB" w14:textId="77777777" w:rsidTr="008C6701">
        <w:tc>
          <w:tcPr>
            <w:tcW w:w="8640" w:type="dxa"/>
            <w:vAlign w:val="center"/>
            <w:hideMark/>
          </w:tcPr>
          <w:p w14:paraId="228BF1C8" w14:textId="77777777" w:rsidR="008C6701" w:rsidRDefault="008C6701">
            <w:pPr>
              <w:pStyle w:val="bmdsTblBody"/>
            </w:pPr>
            <w:r>
              <w:rPr>
                <w:b/>
              </w:rPr>
              <w:t>GO:0005978</w:t>
            </w:r>
          </w:p>
          <w:p w14:paraId="6DC74A96" w14:textId="77777777" w:rsidR="008C6701" w:rsidRDefault="008C6701">
            <w:pPr>
              <w:pStyle w:val="bmdsTblBody"/>
            </w:pPr>
            <w:r>
              <w:t>glycogen biosynthetic process</w:t>
            </w:r>
          </w:p>
        </w:tc>
        <w:tc>
          <w:tcPr>
            <w:tcW w:w="8640" w:type="dxa"/>
            <w:vAlign w:val="center"/>
            <w:hideMark/>
          </w:tcPr>
          <w:p w14:paraId="118560E5" w14:textId="77777777" w:rsidR="008C6701" w:rsidRDefault="008C6701">
            <w:pPr>
              <w:pStyle w:val="bmdsTblBody"/>
              <w:jc w:val="center"/>
            </w:pPr>
            <w:r>
              <w:rPr>
                <w:sz w:val="16"/>
              </w:rPr>
              <w:t>3/17</w:t>
            </w:r>
          </w:p>
        </w:tc>
        <w:tc>
          <w:tcPr>
            <w:tcW w:w="3806" w:type="dxa"/>
            <w:vAlign w:val="center"/>
            <w:hideMark/>
          </w:tcPr>
          <w:p w14:paraId="44E2E32B" w14:textId="77777777" w:rsidR="008C6701" w:rsidRDefault="008C6701">
            <w:pPr>
              <w:pStyle w:val="bmdsTblBody"/>
              <w:jc w:val="center"/>
            </w:pPr>
            <w:r>
              <w:rPr>
                <w:sz w:val="16"/>
              </w:rPr>
              <w:t>18%</w:t>
            </w:r>
          </w:p>
        </w:tc>
        <w:tc>
          <w:tcPr>
            <w:tcW w:w="3806" w:type="dxa"/>
            <w:vAlign w:val="center"/>
            <w:hideMark/>
          </w:tcPr>
          <w:p w14:paraId="4F31C861" w14:textId="77777777" w:rsidR="008C6701" w:rsidRDefault="008C6701">
            <w:pPr>
              <w:pStyle w:val="bmdsTblBody"/>
              <w:jc w:val="center"/>
            </w:pPr>
            <w:proofErr w:type="spellStart"/>
            <w:r>
              <w:rPr>
                <w:sz w:val="16"/>
              </w:rPr>
              <w:t>Gck</w:t>
            </w:r>
            <w:proofErr w:type="spellEnd"/>
            <w:r>
              <w:rPr>
                <w:sz w:val="16"/>
              </w:rPr>
              <w:t xml:space="preserve">; </w:t>
            </w:r>
            <w:proofErr w:type="spellStart"/>
            <w:r>
              <w:rPr>
                <w:sz w:val="16"/>
              </w:rPr>
              <w:t>Nr1d1</w:t>
            </w:r>
            <w:proofErr w:type="spellEnd"/>
            <w:r>
              <w:rPr>
                <w:sz w:val="16"/>
              </w:rPr>
              <w:t xml:space="preserve">; </w:t>
            </w:r>
            <w:proofErr w:type="spellStart"/>
            <w:r>
              <w:rPr>
                <w:sz w:val="16"/>
              </w:rPr>
              <w:t>Per2</w:t>
            </w:r>
            <w:proofErr w:type="spellEnd"/>
          </w:p>
        </w:tc>
        <w:tc>
          <w:tcPr>
            <w:tcW w:w="3806" w:type="dxa"/>
            <w:vAlign w:val="center"/>
            <w:hideMark/>
          </w:tcPr>
          <w:p w14:paraId="43E11053" w14:textId="77777777" w:rsidR="008C6701" w:rsidRDefault="008C6701">
            <w:pPr>
              <w:pStyle w:val="bmdsTblBody"/>
              <w:jc w:val="center"/>
            </w:pPr>
            <w:r>
              <w:rPr>
                <w:sz w:val="16"/>
              </w:rPr>
              <w:t>&lt;25.7</w:t>
            </w:r>
          </w:p>
        </w:tc>
        <w:tc>
          <w:tcPr>
            <w:tcW w:w="3806" w:type="dxa"/>
            <w:vAlign w:val="center"/>
            <w:hideMark/>
          </w:tcPr>
          <w:p w14:paraId="2C3C06E3" w14:textId="77777777" w:rsidR="008C6701" w:rsidRDefault="008C6701">
            <w:pPr>
              <w:pStyle w:val="bmdsTblBody"/>
              <w:jc w:val="center"/>
            </w:pPr>
            <w:r>
              <w:rPr>
                <w:sz w:val="16"/>
              </w:rPr>
              <w:t>NR</w:t>
            </w:r>
          </w:p>
        </w:tc>
        <w:tc>
          <w:tcPr>
            <w:tcW w:w="3806" w:type="dxa"/>
            <w:vAlign w:val="center"/>
            <w:hideMark/>
          </w:tcPr>
          <w:p w14:paraId="15E0F7ED" w14:textId="77777777" w:rsidR="008C6701" w:rsidRDefault="008C6701">
            <w:pPr>
              <w:pStyle w:val="bmdsTblBody"/>
              <w:jc w:val="center"/>
            </w:pPr>
            <w:r>
              <w:rPr>
                <w:sz w:val="16"/>
              </w:rPr>
              <w:t>2</w:t>
            </w:r>
          </w:p>
        </w:tc>
        <w:tc>
          <w:tcPr>
            <w:tcW w:w="3806" w:type="dxa"/>
            <w:vAlign w:val="center"/>
            <w:hideMark/>
          </w:tcPr>
          <w:p w14:paraId="7294012F" w14:textId="77777777" w:rsidR="008C6701" w:rsidRDefault="008C6701">
            <w:pPr>
              <w:pStyle w:val="bmdsTblBody"/>
              <w:jc w:val="center"/>
            </w:pPr>
            <w:r>
              <w:rPr>
                <w:sz w:val="16"/>
              </w:rPr>
              <w:t>1</w:t>
            </w:r>
          </w:p>
        </w:tc>
      </w:tr>
      <w:tr w:rsidR="008C6701" w14:paraId="2E538FC5" w14:textId="77777777" w:rsidTr="008C6701">
        <w:tc>
          <w:tcPr>
            <w:tcW w:w="8640" w:type="dxa"/>
            <w:vAlign w:val="center"/>
            <w:hideMark/>
          </w:tcPr>
          <w:p w14:paraId="6064320B" w14:textId="77777777" w:rsidR="008C6701" w:rsidRDefault="008C6701">
            <w:pPr>
              <w:pStyle w:val="bmdsTblBody"/>
            </w:pPr>
            <w:r>
              <w:rPr>
                <w:b/>
              </w:rPr>
              <w:t>GO:0009250</w:t>
            </w:r>
          </w:p>
          <w:p w14:paraId="7EE0C7E1" w14:textId="77777777" w:rsidR="008C6701" w:rsidRDefault="008C6701">
            <w:pPr>
              <w:pStyle w:val="bmdsTblBody"/>
            </w:pPr>
            <w:r>
              <w:t>glucan biosynthetic process</w:t>
            </w:r>
          </w:p>
        </w:tc>
        <w:tc>
          <w:tcPr>
            <w:tcW w:w="8640" w:type="dxa"/>
            <w:vAlign w:val="center"/>
            <w:hideMark/>
          </w:tcPr>
          <w:p w14:paraId="1060F48F" w14:textId="77777777" w:rsidR="008C6701" w:rsidRDefault="008C6701">
            <w:pPr>
              <w:pStyle w:val="bmdsTblBody"/>
              <w:jc w:val="center"/>
            </w:pPr>
            <w:r>
              <w:rPr>
                <w:sz w:val="16"/>
              </w:rPr>
              <w:t>3/17</w:t>
            </w:r>
          </w:p>
        </w:tc>
        <w:tc>
          <w:tcPr>
            <w:tcW w:w="3806" w:type="dxa"/>
            <w:vAlign w:val="center"/>
            <w:hideMark/>
          </w:tcPr>
          <w:p w14:paraId="7292C220" w14:textId="77777777" w:rsidR="008C6701" w:rsidRDefault="008C6701">
            <w:pPr>
              <w:pStyle w:val="bmdsTblBody"/>
              <w:jc w:val="center"/>
            </w:pPr>
            <w:r>
              <w:rPr>
                <w:sz w:val="16"/>
              </w:rPr>
              <w:t>18%</w:t>
            </w:r>
          </w:p>
        </w:tc>
        <w:tc>
          <w:tcPr>
            <w:tcW w:w="3806" w:type="dxa"/>
            <w:vAlign w:val="center"/>
            <w:hideMark/>
          </w:tcPr>
          <w:p w14:paraId="032E3DF7" w14:textId="77777777" w:rsidR="008C6701" w:rsidRDefault="008C6701">
            <w:pPr>
              <w:pStyle w:val="bmdsTblBody"/>
              <w:jc w:val="center"/>
            </w:pPr>
            <w:proofErr w:type="spellStart"/>
            <w:r>
              <w:rPr>
                <w:sz w:val="16"/>
              </w:rPr>
              <w:t>Gck</w:t>
            </w:r>
            <w:proofErr w:type="spellEnd"/>
            <w:r>
              <w:rPr>
                <w:sz w:val="16"/>
              </w:rPr>
              <w:t xml:space="preserve">; </w:t>
            </w:r>
            <w:proofErr w:type="spellStart"/>
            <w:r>
              <w:rPr>
                <w:sz w:val="16"/>
              </w:rPr>
              <w:t>Nr1d1</w:t>
            </w:r>
            <w:proofErr w:type="spellEnd"/>
            <w:r>
              <w:rPr>
                <w:sz w:val="16"/>
              </w:rPr>
              <w:t xml:space="preserve">; </w:t>
            </w:r>
            <w:proofErr w:type="spellStart"/>
            <w:r>
              <w:rPr>
                <w:sz w:val="16"/>
              </w:rPr>
              <w:t>Per2</w:t>
            </w:r>
            <w:proofErr w:type="spellEnd"/>
          </w:p>
        </w:tc>
        <w:tc>
          <w:tcPr>
            <w:tcW w:w="3806" w:type="dxa"/>
            <w:vAlign w:val="center"/>
            <w:hideMark/>
          </w:tcPr>
          <w:p w14:paraId="200BD56B" w14:textId="77777777" w:rsidR="008C6701" w:rsidRDefault="008C6701">
            <w:pPr>
              <w:pStyle w:val="bmdsTblBody"/>
              <w:jc w:val="center"/>
            </w:pPr>
            <w:r>
              <w:rPr>
                <w:sz w:val="16"/>
              </w:rPr>
              <w:t>&lt;25.7</w:t>
            </w:r>
          </w:p>
        </w:tc>
        <w:tc>
          <w:tcPr>
            <w:tcW w:w="3806" w:type="dxa"/>
            <w:vAlign w:val="center"/>
            <w:hideMark/>
          </w:tcPr>
          <w:p w14:paraId="0107358E" w14:textId="77777777" w:rsidR="008C6701" w:rsidRDefault="008C6701">
            <w:pPr>
              <w:pStyle w:val="bmdsTblBody"/>
              <w:jc w:val="center"/>
            </w:pPr>
            <w:r>
              <w:rPr>
                <w:sz w:val="16"/>
              </w:rPr>
              <w:t>NR</w:t>
            </w:r>
          </w:p>
        </w:tc>
        <w:tc>
          <w:tcPr>
            <w:tcW w:w="3806" w:type="dxa"/>
            <w:vAlign w:val="center"/>
            <w:hideMark/>
          </w:tcPr>
          <w:p w14:paraId="0C9E3E3D" w14:textId="77777777" w:rsidR="008C6701" w:rsidRDefault="008C6701">
            <w:pPr>
              <w:pStyle w:val="bmdsTblBody"/>
              <w:jc w:val="center"/>
            </w:pPr>
            <w:r>
              <w:rPr>
                <w:sz w:val="16"/>
              </w:rPr>
              <w:t>2</w:t>
            </w:r>
          </w:p>
        </w:tc>
        <w:tc>
          <w:tcPr>
            <w:tcW w:w="3806" w:type="dxa"/>
            <w:vAlign w:val="center"/>
            <w:hideMark/>
          </w:tcPr>
          <w:p w14:paraId="2DC65FBD" w14:textId="77777777" w:rsidR="008C6701" w:rsidRDefault="008C6701">
            <w:pPr>
              <w:pStyle w:val="bmdsTblBody"/>
              <w:jc w:val="center"/>
            </w:pPr>
            <w:r>
              <w:rPr>
                <w:sz w:val="16"/>
              </w:rPr>
              <w:t>1</w:t>
            </w:r>
          </w:p>
        </w:tc>
      </w:tr>
      <w:tr w:rsidR="008C6701" w14:paraId="5D6823DA" w14:textId="77777777" w:rsidTr="008C6701">
        <w:tc>
          <w:tcPr>
            <w:tcW w:w="8640" w:type="dxa"/>
            <w:vAlign w:val="center"/>
            <w:hideMark/>
          </w:tcPr>
          <w:p w14:paraId="56BF39F1" w14:textId="77777777" w:rsidR="008C6701" w:rsidRDefault="008C6701">
            <w:pPr>
              <w:pStyle w:val="bmdsTblBody"/>
            </w:pPr>
            <w:r>
              <w:rPr>
                <w:b/>
              </w:rPr>
              <w:t>GO:0043401</w:t>
            </w:r>
          </w:p>
          <w:p w14:paraId="011EABAF" w14:textId="77777777" w:rsidR="008C6701" w:rsidRDefault="008C6701">
            <w:pPr>
              <w:pStyle w:val="bmdsTblBody"/>
            </w:pPr>
            <w:r>
              <w:t>steroid hormone mediated signaling pathway</w:t>
            </w:r>
          </w:p>
        </w:tc>
        <w:tc>
          <w:tcPr>
            <w:tcW w:w="8640" w:type="dxa"/>
            <w:vAlign w:val="center"/>
            <w:hideMark/>
          </w:tcPr>
          <w:p w14:paraId="10ACFB32" w14:textId="77777777" w:rsidR="008C6701" w:rsidRDefault="008C6701">
            <w:pPr>
              <w:pStyle w:val="bmdsTblBody"/>
              <w:jc w:val="center"/>
            </w:pPr>
            <w:r>
              <w:rPr>
                <w:sz w:val="16"/>
              </w:rPr>
              <w:t>5/95</w:t>
            </w:r>
          </w:p>
        </w:tc>
        <w:tc>
          <w:tcPr>
            <w:tcW w:w="3806" w:type="dxa"/>
            <w:vAlign w:val="center"/>
            <w:hideMark/>
          </w:tcPr>
          <w:p w14:paraId="572D5D7E" w14:textId="77777777" w:rsidR="008C6701" w:rsidRDefault="008C6701">
            <w:pPr>
              <w:pStyle w:val="bmdsTblBody"/>
              <w:jc w:val="center"/>
            </w:pPr>
            <w:r>
              <w:rPr>
                <w:sz w:val="16"/>
              </w:rPr>
              <w:t>5%</w:t>
            </w:r>
          </w:p>
        </w:tc>
        <w:tc>
          <w:tcPr>
            <w:tcW w:w="3806" w:type="dxa"/>
            <w:vAlign w:val="center"/>
            <w:hideMark/>
          </w:tcPr>
          <w:p w14:paraId="02689630" w14:textId="77777777" w:rsidR="008C6701" w:rsidRDefault="008C6701">
            <w:pPr>
              <w:pStyle w:val="bmdsTblBody"/>
              <w:jc w:val="center"/>
            </w:pPr>
            <w:proofErr w:type="spellStart"/>
            <w:r>
              <w:rPr>
                <w:sz w:val="16"/>
              </w:rPr>
              <w:t>Fkbp4</w:t>
            </w:r>
            <w:proofErr w:type="spellEnd"/>
            <w:r>
              <w:rPr>
                <w:sz w:val="16"/>
              </w:rPr>
              <w:t xml:space="preserve">; </w:t>
            </w:r>
            <w:proofErr w:type="spellStart"/>
            <w:r>
              <w:rPr>
                <w:sz w:val="16"/>
              </w:rPr>
              <w:t>Esrrg</w:t>
            </w:r>
            <w:proofErr w:type="spellEnd"/>
            <w:r>
              <w:rPr>
                <w:sz w:val="16"/>
              </w:rPr>
              <w:t xml:space="preserve">; </w:t>
            </w:r>
            <w:proofErr w:type="spellStart"/>
            <w:r>
              <w:rPr>
                <w:sz w:val="16"/>
              </w:rPr>
              <w:t>Ppard</w:t>
            </w:r>
            <w:proofErr w:type="spellEnd"/>
            <w:r>
              <w:rPr>
                <w:sz w:val="16"/>
              </w:rPr>
              <w:t xml:space="preserve">; </w:t>
            </w:r>
            <w:proofErr w:type="spellStart"/>
            <w:r>
              <w:rPr>
                <w:sz w:val="16"/>
              </w:rPr>
              <w:t>Nr1d1</w:t>
            </w:r>
            <w:proofErr w:type="spellEnd"/>
            <w:r>
              <w:rPr>
                <w:sz w:val="16"/>
              </w:rPr>
              <w:t xml:space="preserve">; </w:t>
            </w:r>
            <w:proofErr w:type="spellStart"/>
            <w:r>
              <w:rPr>
                <w:sz w:val="16"/>
              </w:rPr>
              <w:t>Nr1d2</w:t>
            </w:r>
            <w:proofErr w:type="spellEnd"/>
          </w:p>
        </w:tc>
        <w:tc>
          <w:tcPr>
            <w:tcW w:w="3806" w:type="dxa"/>
            <w:vAlign w:val="center"/>
            <w:hideMark/>
          </w:tcPr>
          <w:p w14:paraId="01565E59" w14:textId="77777777" w:rsidR="008C6701" w:rsidRDefault="008C6701">
            <w:pPr>
              <w:pStyle w:val="bmdsTblBody"/>
              <w:jc w:val="center"/>
            </w:pPr>
            <w:r>
              <w:rPr>
                <w:sz w:val="16"/>
              </w:rPr>
              <w:t>&lt;25.7</w:t>
            </w:r>
          </w:p>
        </w:tc>
        <w:tc>
          <w:tcPr>
            <w:tcW w:w="3806" w:type="dxa"/>
            <w:vAlign w:val="center"/>
            <w:hideMark/>
          </w:tcPr>
          <w:p w14:paraId="696E2492" w14:textId="77777777" w:rsidR="008C6701" w:rsidRDefault="008C6701">
            <w:pPr>
              <w:pStyle w:val="bmdsTblBody"/>
              <w:jc w:val="center"/>
            </w:pPr>
            <w:r>
              <w:rPr>
                <w:sz w:val="16"/>
              </w:rPr>
              <w:t>NR</w:t>
            </w:r>
          </w:p>
        </w:tc>
        <w:tc>
          <w:tcPr>
            <w:tcW w:w="3806" w:type="dxa"/>
            <w:vAlign w:val="center"/>
            <w:hideMark/>
          </w:tcPr>
          <w:p w14:paraId="417DD444" w14:textId="77777777" w:rsidR="008C6701" w:rsidRDefault="008C6701">
            <w:pPr>
              <w:pStyle w:val="bmdsTblBody"/>
              <w:jc w:val="center"/>
            </w:pPr>
            <w:r>
              <w:rPr>
                <w:sz w:val="16"/>
              </w:rPr>
              <w:t>3</w:t>
            </w:r>
          </w:p>
        </w:tc>
        <w:tc>
          <w:tcPr>
            <w:tcW w:w="3806" w:type="dxa"/>
            <w:vAlign w:val="center"/>
            <w:hideMark/>
          </w:tcPr>
          <w:p w14:paraId="13451CA2" w14:textId="77777777" w:rsidR="008C6701" w:rsidRDefault="008C6701">
            <w:pPr>
              <w:pStyle w:val="bmdsTblBody"/>
              <w:jc w:val="center"/>
            </w:pPr>
            <w:r>
              <w:rPr>
                <w:sz w:val="16"/>
              </w:rPr>
              <w:t>2</w:t>
            </w:r>
          </w:p>
        </w:tc>
      </w:tr>
      <w:tr w:rsidR="008C6701" w14:paraId="48FE4616" w14:textId="77777777" w:rsidTr="008C6701">
        <w:tc>
          <w:tcPr>
            <w:tcW w:w="8640" w:type="dxa"/>
            <w:vAlign w:val="center"/>
            <w:hideMark/>
          </w:tcPr>
          <w:p w14:paraId="7F345A74" w14:textId="77777777" w:rsidR="008C6701" w:rsidRDefault="008C6701">
            <w:pPr>
              <w:pStyle w:val="bmdsTblBody"/>
            </w:pPr>
            <w:r>
              <w:rPr>
                <w:b/>
              </w:rPr>
              <w:t>GO:0055007</w:t>
            </w:r>
          </w:p>
          <w:p w14:paraId="167F0270" w14:textId="77777777" w:rsidR="008C6701" w:rsidRDefault="008C6701">
            <w:pPr>
              <w:pStyle w:val="bmdsTblBody"/>
            </w:pPr>
            <w:r>
              <w:t>cardiac muscle cell differentiation</w:t>
            </w:r>
          </w:p>
        </w:tc>
        <w:tc>
          <w:tcPr>
            <w:tcW w:w="8640" w:type="dxa"/>
            <w:vAlign w:val="center"/>
            <w:hideMark/>
          </w:tcPr>
          <w:p w14:paraId="218D448D" w14:textId="77777777" w:rsidR="008C6701" w:rsidRDefault="008C6701">
            <w:pPr>
              <w:pStyle w:val="bmdsTblBody"/>
              <w:jc w:val="center"/>
            </w:pPr>
            <w:r>
              <w:rPr>
                <w:sz w:val="16"/>
              </w:rPr>
              <w:t>3/36</w:t>
            </w:r>
          </w:p>
        </w:tc>
        <w:tc>
          <w:tcPr>
            <w:tcW w:w="3806" w:type="dxa"/>
            <w:vAlign w:val="center"/>
            <w:hideMark/>
          </w:tcPr>
          <w:p w14:paraId="438BA219" w14:textId="77777777" w:rsidR="008C6701" w:rsidRDefault="008C6701">
            <w:pPr>
              <w:pStyle w:val="bmdsTblBody"/>
              <w:jc w:val="center"/>
            </w:pPr>
            <w:r>
              <w:rPr>
                <w:sz w:val="16"/>
              </w:rPr>
              <w:t>8%</w:t>
            </w:r>
          </w:p>
        </w:tc>
        <w:tc>
          <w:tcPr>
            <w:tcW w:w="3806" w:type="dxa"/>
            <w:vAlign w:val="center"/>
            <w:hideMark/>
          </w:tcPr>
          <w:p w14:paraId="5ED680DB" w14:textId="77777777" w:rsidR="008C6701" w:rsidRDefault="008C6701">
            <w:pPr>
              <w:pStyle w:val="bmdsTblBody"/>
              <w:jc w:val="center"/>
            </w:pPr>
            <w:proofErr w:type="spellStart"/>
            <w:r>
              <w:rPr>
                <w:sz w:val="16"/>
              </w:rPr>
              <w:t>Sox6</w:t>
            </w:r>
            <w:proofErr w:type="spellEnd"/>
            <w:r>
              <w:rPr>
                <w:sz w:val="16"/>
              </w:rPr>
              <w:t xml:space="preserve">; </w:t>
            </w:r>
            <w:proofErr w:type="spellStart"/>
            <w:r>
              <w:rPr>
                <w:sz w:val="16"/>
              </w:rPr>
              <w:t>Tbx3</w:t>
            </w:r>
            <w:proofErr w:type="spellEnd"/>
            <w:r>
              <w:rPr>
                <w:sz w:val="16"/>
              </w:rPr>
              <w:t xml:space="preserve">; </w:t>
            </w:r>
            <w:proofErr w:type="spellStart"/>
            <w:r>
              <w:rPr>
                <w:sz w:val="16"/>
              </w:rPr>
              <w:t>Syne1</w:t>
            </w:r>
            <w:proofErr w:type="spellEnd"/>
          </w:p>
        </w:tc>
        <w:tc>
          <w:tcPr>
            <w:tcW w:w="3806" w:type="dxa"/>
            <w:vAlign w:val="center"/>
            <w:hideMark/>
          </w:tcPr>
          <w:p w14:paraId="661A4159" w14:textId="77777777" w:rsidR="008C6701" w:rsidRDefault="008C6701">
            <w:pPr>
              <w:pStyle w:val="bmdsTblBody"/>
              <w:jc w:val="center"/>
            </w:pPr>
            <w:r>
              <w:rPr>
                <w:sz w:val="16"/>
              </w:rPr>
              <w:t>&lt;25.7</w:t>
            </w:r>
          </w:p>
        </w:tc>
        <w:tc>
          <w:tcPr>
            <w:tcW w:w="3806" w:type="dxa"/>
            <w:vAlign w:val="center"/>
            <w:hideMark/>
          </w:tcPr>
          <w:p w14:paraId="1849F3D6" w14:textId="77777777" w:rsidR="008C6701" w:rsidRDefault="008C6701">
            <w:pPr>
              <w:pStyle w:val="bmdsTblBody"/>
              <w:jc w:val="center"/>
            </w:pPr>
            <w:r>
              <w:rPr>
                <w:sz w:val="16"/>
              </w:rPr>
              <w:t>NR</w:t>
            </w:r>
          </w:p>
        </w:tc>
        <w:tc>
          <w:tcPr>
            <w:tcW w:w="3806" w:type="dxa"/>
            <w:vAlign w:val="center"/>
            <w:hideMark/>
          </w:tcPr>
          <w:p w14:paraId="681C1FEC" w14:textId="77777777" w:rsidR="008C6701" w:rsidRDefault="008C6701">
            <w:pPr>
              <w:pStyle w:val="bmdsTblBody"/>
              <w:jc w:val="center"/>
            </w:pPr>
            <w:r>
              <w:rPr>
                <w:sz w:val="16"/>
              </w:rPr>
              <w:t>2</w:t>
            </w:r>
          </w:p>
        </w:tc>
        <w:tc>
          <w:tcPr>
            <w:tcW w:w="3806" w:type="dxa"/>
            <w:vAlign w:val="center"/>
            <w:hideMark/>
          </w:tcPr>
          <w:p w14:paraId="1A019001" w14:textId="77777777" w:rsidR="008C6701" w:rsidRDefault="008C6701">
            <w:pPr>
              <w:pStyle w:val="bmdsTblBody"/>
              <w:jc w:val="center"/>
            </w:pPr>
            <w:r>
              <w:rPr>
                <w:sz w:val="16"/>
              </w:rPr>
              <w:t>1</w:t>
            </w:r>
          </w:p>
        </w:tc>
      </w:tr>
      <w:tr w:rsidR="008C6701" w14:paraId="51DF9C56" w14:textId="77777777" w:rsidTr="008C6701">
        <w:tc>
          <w:tcPr>
            <w:tcW w:w="8640" w:type="dxa"/>
            <w:vAlign w:val="center"/>
            <w:hideMark/>
          </w:tcPr>
          <w:p w14:paraId="5DD39E05" w14:textId="77777777" w:rsidR="008C6701" w:rsidRDefault="008C6701">
            <w:pPr>
              <w:pStyle w:val="bmdsTblBody"/>
            </w:pPr>
            <w:r>
              <w:rPr>
                <w:b/>
              </w:rPr>
              <w:t>GO:0048641</w:t>
            </w:r>
          </w:p>
          <w:p w14:paraId="1A621277" w14:textId="77777777" w:rsidR="008C6701" w:rsidRDefault="008C6701">
            <w:pPr>
              <w:pStyle w:val="bmdsTblBody"/>
            </w:pPr>
            <w:r>
              <w:t>regulation of skeletal muscle tissue development</w:t>
            </w:r>
          </w:p>
        </w:tc>
        <w:tc>
          <w:tcPr>
            <w:tcW w:w="8640" w:type="dxa"/>
            <w:vAlign w:val="center"/>
            <w:hideMark/>
          </w:tcPr>
          <w:p w14:paraId="3F6B213E" w14:textId="77777777" w:rsidR="008C6701" w:rsidRDefault="008C6701">
            <w:pPr>
              <w:pStyle w:val="bmdsTblBody"/>
              <w:jc w:val="center"/>
            </w:pPr>
            <w:r>
              <w:rPr>
                <w:sz w:val="16"/>
              </w:rPr>
              <w:t>4/50</w:t>
            </w:r>
          </w:p>
        </w:tc>
        <w:tc>
          <w:tcPr>
            <w:tcW w:w="3806" w:type="dxa"/>
            <w:vAlign w:val="center"/>
            <w:hideMark/>
          </w:tcPr>
          <w:p w14:paraId="0BE72257" w14:textId="77777777" w:rsidR="008C6701" w:rsidRDefault="008C6701">
            <w:pPr>
              <w:pStyle w:val="bmdsTblBody"/>
              <w:jc w:val="center"/>
            </w:pPr>
            <w:r>
              <w:rPr>
                <w:sz w:val="16"/>
              </w:rPr>
              <w:t>8%</w:t>
            </w:r>
          </w:p>
        </w:tc>
        <w:tc>
          <w:tcPr>
            <w:tcW w:w="3806" w:type="dxa"/>
            <w:vAlign w:val="center"/>
            <w:hideMark/>
          </w:tcPr>
          <w:p w14:paraId="3D1D1CC7" w14:textId="77777777" w:rsidR="008C6701" w:rsidRDefault="008C6701">
            <w:pPr>
              <w:pStyle w:val="bmdsTblBody"/>
              <w:jc w:val="center"/>
            </w:pPr>
            <w:proofErr w:type="spellStart"/>
            <w:r>
              <w:rPr>
                <w:sz w:val="16"/>
              </w:rPr>
              <w:t>Tcf7l2</w:t>
            </w:r>
            <w:proofErr w:type="spellEnd"/>
            <w:r>
              <w:rPr>
                <w:sz w:val="16"/>
              </w:rPr>
              <w:t xml:space="preserve">; </w:t>
            </w:r>
            <w:proofErr w:type="spellStart"/>
            <w:r>
              <w:rPr>
                <w:sz w:val="16"/>
              </w:rPr>
              <w:t>Nr1d2</w:t>
            </w:r>
            <w:proofErr w:type="spellEnd"/>
            <w:r>
              <w:rPr>
                <w:sz w:val="16"/>
              </w:rPr>
              <w:t xml:space="preserve">; </w:t>
            </w:r>
            <w:proofErr w:type="spellStart"/>
            <w:r>
              <w:rPr>
                <w:sz w:val="16"/>
              </w:rPr>
              <w:t>Arntl</w:t>
            </w:r>
            <w:proofErr w:type="spellEnd"/>
            <w:r>
              <w:rPr>
                <w:sz w:val="16"/>
              </w:rPr>
              <w:t xml:space="preserve">; </w:t>
            </w:r>
            <w:proofErr w:type="spellStart"/>
            <w:r>
              <w:rPr>
                <w:sz w:val="16"/>
              </w:rPr>
              <w:t>Tsc22d3</w:t>
            </w:r>
            <w:proofErr w:type="spellEnd"/>
          </w:p>
        </w:tc>
        <w:tc>
          <w:tcPr>
            <w:tcW w:w="3806" w:type="dxa"/>
            <w:vAlign w:val="center"/>
            <w:hideMark/>
          </w:tcPr>
          <w:p w14:paraId="20E5C879" w14:textId="77777777" w:rsidR="008C6701" w:rsidRDefault="008C6701">
            <w:pPr>
              <w:pStyle w:val="bmdsTblBody"/>
              <w:jc w:val="center"/>
            </w:pPr>
            <w:r>
              <w:rPr>
                <w:sz w:val="16"/>
              </w:rPr>
              <w:t>&lt;25.7</w:t>
            </w:r>
          </w:p>
        </w:tc>
        <w:tc>
          <w:tcPr>
            <w:tcW w:w="3806" w:type="dxa"/>
            <w:vAlign w:val="center"/>
            <w:hideMark/>
          </w:tcPr>
          <w:p w14:paraId="2A489D0E" w14:textId="77777777" w:rsidR="008C6701" w:rsidRDefault="008C6701">
            <w:pPr>
              <w:pStyle w:val="bmdsTblBody"/>
              <w:jc w:val="center"/>
            </w:pPr>
            <w:r>
              <w:rPr>
                <w:sz w:val="16"/>
              </w:rPr>
              <w:t>NR</w:t>
            </w:r>
          </w:p>
        </w:tc>
        <w:tc>
          <w:tcPr>
            <w:tcW w:w="3806" w:type="dxa"/>
            <w:vAlign w:val="center"/>
            <w:hideMark/>
          </w:tcPr>
          <w:p w14:paraId="3EBDE66C" w14:textId="77777777" w:rsidR="008C6701" w:rsidRDefault="008C6701">
            <w:pPr>
              <w:pStyle w:val="bmdsTblBody"/>
              <w:jc w:val="center"/>
            </w:pPr>
            <w:r>
              <w:rPr>
                <w:sz w:val="16"/>
              </w:rPr>
              <w:t>2</w:t>
            </w:r>
          </w:p>
        </w:tc>
        <w:tc>
          <w:tcPr>
            <w:tcW w:w="3806" w:type="dxa"/>
            <w:vAlign w:val="center"/>
            <w:hideMark/>
          </w:tcPr>
          <w:p w14:paraId="163D89E4" w14:textId="77777777" w:rsidR="008C6701" w:rsidRDefault="008C6701">
            <w:pPr>
              <w:pStyle w:val="bmdsTblBody"/>
              <w:jc w:val="center"/>
            </w:pPr>
            <w:r>
              <w:rPr>
                <w:sz w:val="16"/>
              </w:rPr>
              <w:t>2</w:t>
            </w:r>
          </w:p>
        </w:tc>
      </w:tr>
      <w:tr w:rsidR="008C6701" w14:paraId="3AACB17F" w14:textId="77777777" w:rsidTr="008C6701">
        <w:tc>
          <w:tcPr>
            <w:tcW w:w="8640" w:type="dxa"/>
            <w:vAlign w:val="center"/>
            <w:hideMark/>
          </w:tcPr>
          <w:p w14:paraId="0A7D650A" w14:textId="77777777" w:rsidR="008C6701" w:rsidRDefault="008C6701">
            <w:pPr>
              <w:pStyle w:val="bmdsTblBody"/>
            </w:pPr>
            <w:r>
              <w:rPr>
                <w:b/>
              </w:rPr>
              <w:t>GO:0051146</w:t>
            </w:r>
          </w:p>
          <w:p w14:paraId="0799E34A" w14:textId="77777777" w:rsidR="008C6701" w:rsidRDefault="008C6701">
            <w:pPr>
              <w:pStyle w:val="bmdsTblBody"/>
            </w:pPr>
            <w:r>
              <w:t>striated muscle cell differentiation</w:t>
            </w:r>
          </w:p>
        </w:tc>
        <w:tc>
          <w:tcPr>
            <w:tcW w:w="8640" w:type="dxa"/>
            <w:vAlign w:val="center"/>
            <w:hideMark/>
          </w:tcPr>
          <w:p w14:paraId="35B13944" w14:textId="77777777" w:rsidR="008C6701" w:rsidRDefault="008C6701">
            <w:pPr>
              <w:pStyle w:val="bmdsTblBody"/>
              <w:jc w:val="center"/>
            </w:pPr>
            <w:r>
              <w:rPr>
                <w:sz w:val="16"/>
              </w:rPr>
              <w:t>5/67</w:t>
            </w:r>
          </w:p>
        </w:tc>
        <w:tc>
          <w:tcPr>
            <w:tcW w:w="3806" w:type="dxa"/>
            <w:vAlign w:val="center"/>
            <w:hideMark/>
          </w:tcPr>
          <w:p w14:paraId="6AEEC60F" w14:textId="77777777" w:rsidR="008C6701" w:rsidRDefault="008C6701">
            <w:pPr>
              <w:pStyle w:val="bmdsTblBody"/>
              <w:jc w:val="center"/>
            </w:pPr>
            <w:r>
              <w:rPr>
                <w:sz w:val="16"/>
              </w:rPr>
              <w:t>7%</w:t>
            </w:r>
          </w:p>
        </w:tc>
        <w:tc>
          <w:tcPr>
            <w:tcW w:w="3806" w:type="dxa"/>
            <w:vAlign w:val="center"/>
            <w:hideMark/>
          </w:tcPr>
          <w:p w14:paraId="65311DEA" w14:textId="77777777" w:rsidR="008C6701" w:rsidRDefault="008C6701">
            <w:pPr>
              <w:pStyle w:val="bmdsTblBody"/>
              <w:jc w:val="center"/>
            </w:pPr>
            <w:proofErr w:type="spellStart"/>
            <w:r>
              <w:rPr>
                <w:sz w:val="16"/>
              </w:rPr>
              <w:t>Sox6</w:t>
            </w:r>
            <w:proofErr w:type="spellEnd"/>
            <w:r>
              <w:rPr>
                <w:sz w:val="16"/>
              </w:rPr>
              <w:t xml:space="preserve">; </w:t>
            </w:r>
            <w:proofErr w:type="spellStart"/>
            <w:r>
              <w:rPr>
                <w:sz w:val="16"/>
              </w:rPr>
              <w:t>Tbx3</w:t>
            </w:r>
            <w:proofErr w:type="spellEnd"/>
            <w:r>
              <w:rPr>
                <w:sz w:val="16"/>
              </w:rPr>
              <w:t xml:space="preserve">; Chuk; </w:t>
            </w:r>
            <w:proofErr w:type="spellStart"/>
            <w:r>
              <w:rPr>
                <w:sz w:val="16"/>
              </w:rPr>
              <w:t>Syne1</w:t>
            </w:r>
            <w:proofErr w:type="spellEnd"/>
            <w:r>
              <w:rPr>
                <w:sz w:val="16"/>
              </w:rPr>
              <w:t xml:space="preserve">; </w:t>
            </w:r>
            <w:proofErr w:type="spellStart"/>
            <w:r>
              <w:rPr>
                <w:sz w:val="16"/>
              </w:rPr>
              <w:t>Avpr1a</w:t>
            </w:r>
            <w:proofErr w:type="spellEnd"/>
          </w:p>
        </w:tc>
        <w:tc>
          <w:tcPr>
            <w:tcW w:w="3806" w:type="dxa"/>
            <w:vAlign w:val="center"/>
            <w:hideMark/>
          </w:tcPr>
          <w:p w14:paraId="28558C93" w14:textId="77777777" w:rsidR="008C6701" w:rsidRDefault="008C6701">
            <w:pPr>
              <w:pStyle w:val="bmdsTblBody"/>
              <w:jc w:val="center"/>
            </w:pPr>
            <w:r>
              <w:rPr>
                <w:sz w:val="16"/>
              </w:rPr>
              <w:t>&lt;25.7</w:t>
            </w:r>
          </w:p>
        </w:tc>
        <w:tc>
          <w:tcPr>
            <w:tcW w:w="3806" w:type="dxa"/>
            <w:vAlign w:val="center"/>
            <w:hideMark/>
          </w:tcPr>
          <w:p w14:paraId="74FEB2D3" w14:textId="77777777" w:rsidR="008C6701" w:rsidRDefault="008C6701">
            <w:pPr>
              <w:pStyle w:val="bmdsTblBody"/>
              <w:jc w:val="center"/>
            </w:pPr>
            <w:r>
              <w:rPr>
                <w:sz w:val="16"/>
              </w:rPr>
              <w:t>NR</w:t>
            </w:r>
          </w:p>
        </w:tc>
        <w:tc>
          <w:tcPr>
            <w:tcW w:w="3806" w:type="dxa"/>
            <w:vAlign w:val="center"/>
            <w:hideMark/>
          </w:tcPr>
          <w:p w14:paraId="6A1F372B" w14:textId="77777777" w:rsidR="008C6701" w:rsidRDefault="008C6701">
            <w:pPr>
              <w:pStyle w:val="bmdsTblBody"/>
              <w:jc w:val="center"/>
            </w:pPr>
            <w:r>
              <w:rPr>
                <w:sz w:val="16"/>
              </w:rPr>
              <w:t>3</w:t>
            </w:r>
          </w:p>
        </w:tc>
        <w:tc>
          <w:tcPr>
            <w:tcW w:w="3806" w:type="dxa"/>
            <w:vAlign w:val="center"/>
            <w:hideMark/>
          </w:tcPr>
          <w:p w14:paraId="4A9469D3" w14:textId="77777777" w:rsidR="008C6701" w:rsidRDefault="008C6701">
            <w:pPr>
              <w:pStyle w:val="bmdsTblBody"/>
              <w:jc w:val="center"/>
            </w:pPr>
            <w:r>
              <w:rPr>
                <w:sz w:val="16"/>
              </w:rPr>
              <w:t>2</w:t>
            </w:r>
          </w:p>
        </w:tc>
      </w:tr>
      <w:tr w:rsidR="008C6701" w14:paraId="55B183FD" w14:textId="77777777" w:rsidTr="008C6701">
        <w:tc>
          <w:tcPr>
            <w:tcW w:w="8640" w:type="dxa"/>
            <w:vAlign w:val="center"/>
            <w:hideMark/>
          </w:tcPr>
          <w:p w14:paraId="0E2239EB" w14:textId="77777777" w:rsidR="008C6701" w:rsidRDefault="008C6701">
            <w:pPr>
              <w:pStyle w:val="bmdsTblBody"/>
            </w:pPr>
            <w:r>
              <w:rPr>
                <w:b/>
              </w:rPr>
              <w:t>GO:0043470</w:t>
            </w:r>
          </w:p>
          <w:p w14:paraId="5214AB9C" w14:textId="77777777" w:rsidR="008C6701" w:rsidRDefault="008C6701">
            <w:pPr>
              <w:pStyle w:val="bmdsTblBody"/>
            </w:pPr>
            <w:r>
              <w:t>regulation of carbohydrate catabolic process</w:t>
            </w:r>
          </w:p>
        </w:tc>
        <w:tc>
          <w:tcPr>
            <w:tcW w:w="8640" w:type="dxa"/>
            <w:vAlign w:val="center"/>
            <w:hideMark/>
          </w:tcPr>
          <w:p w14:paraId="7E086532" w14:textId="77777777" w:rsidR="008C6701" w:rsidRDefault="008C6701">
            <w:pPr>
              <w:pStyle w:val="bmdsTblBody"/>
              <w:jc w:val="center"/>
            </w:pPr>
            <w:r>
              <w:rPr>
                <w:sz w:val="16"/>
              </w:rPr>
              <w:t>3/47</w:t>
            </w:r>
          </w:p>
        </w:tc>
        <w:tc>
          <w:tcPr>
            <w:tcW w:w="3806" w:type="dxa"/>
            <w:vAlign w:val="center"/>
            <w:hideMark/>
          </w:tcPr>
          <w:p w14:paraId="231F3417" w14:textId="77777777" w:rsidR="008C6701" w:rsidRDefault="008C6701">
            <w:pPr>
              <w:pStyle w:val="bmdsTblBody"/>
              <w:jc w:val="center"/>
            </w:pPr>
            <w:r>
              <w:rPr>
                <w:sz w:val="16"/>
              </w:rPr>
              <w:t>6%</w:t>
            </w:r>
          </w:p>
        </w:tc>
        <w:tc>
          <w:tcPr>
            <w:tcW w:w="3806" w:type="dxa"/>
            <w:vAlign w:val="center"/>
            <w:hideMark/>
          </w:tcPr>
          <w:p w14:paraId="7F1E12D2" w14:textId="77777777" w:rsidR="008C6701" w:rsidRDefault="008C6701">
            <w:pPr>
              <w:pStyle w:val="bmdsTblBody"/>
              <w:jc w:val="center"/>
            </w:pPr>
            <w:proofErr w:type="spellStart"/>
            <w:r>
              <w:rPr>
                <w:sz w:val="16"/>
              </w:rPr>
              <w:t>Gck</w:t>
            </w:r>
            <w:proofErr w:type="spellEnd"/>
            <w:r>
              <w:rPr>
                <w:sz w:val="16"/>
              </w:rPr>
              <w:t xml:space="preserve">; </w:t>
            </w:r>
            <w:proofErr w:type="spellStart"/>
            <w:r>
              <w:rPr>
                <w:sz w:val="16"/>
              </w:rPr>
              <w:t>Avpr1a</w:t>
            </w:r>
            <w:proofErr w:type="spellEnd"/>
            <w:r>
              <w:rPr>
                <w:sz w:val="16"/>
              </w:rPr>
              <w:t xml:space="preserve">; </w:t>
            </w:r>
            <w:proofErr w:type="spellStart"/>
            <w:r>
              <w:rPr>
                <w:sz w:val="16"/>
              </w:rPr>
              <w:t>Ddit4</w:t>
            </w:r>
            <w:proofErr w:type="spellEnd"/>
          </w:p>
        </w:tc>
        <w:tc>
          <w:tcPr>
            <w:tcW w:w="3806" w:type="dxa"/>
            <w:vAlign w:val="center"/>
            <w:hideMark/>
          </w:tcPr>
          <w:p w14:paraId="3FC4F288" w14:textId="77777777" w:rsidR="008C6701" w:rsidRDefault="008C6701">
            <w:pPr>
              <w:pStyle w:val="bmdsTblBody"/>
              <w:jc w:val="center"/>
            </w:pPr>
            <w:r>
              <w:rPr>
                <w:sz w:val="16"/>
              </w:rPr>
              <w:t>&lt;25.7</w:t>
            </w:r>
          </w:p>
        </w:tc>
        <w:tc>
          <w:tcPr>
            <w:tcW w:w="3806" w:type="dxa"/>
            <w:vAlign w:val="center"/>
            <w:hideMark/>
          </w:tcPr>
          <w:p w14:paraId="01992925" w14:textId="77777777" w:rsidR="008C6701" w:rsidRDefault="008C6701">
            <w:pPr>
              <w:pStyle w:val="bmdsTblBody"/>
              <w:jc w:val="center"/>
            </w:pPr>
            <w:r>
              <w:rPr>
                <w:sz w:val="16"/>
              </w:rPr>
              <w:t>NR</w:t>
            </w:r>
          </w:p>
        </w:tc>
        <w:tc>
          <w:tcPr>
            <w:tcW w:w="3806" w:type="dxa"/>
            <w:vAlign w:val="center"/>
            <w:hideMark/>
          </w:tcPr>
          <w:p w14:paraId="6BCC2CD5" w14:textId="77777777" w:rsidR="008C6701" w:rsidRDefault="008C6701">
            <w:pPr>
              <w:pStyle w:val="bmdsTblBody"/>
              <w:jc w:val="center"/>
            </w:pPr>
            <w:r>
              <w:rPr>
                <w:sz w:val="16"/>
              </w:rPr>
              <w:t>1</w:t>
            </w:r>
          </w:p>
        </w:tc>
        <w:tc>
          <w:tcPr>
            <w:tcW w:w="3806" w:type="dxa"/>
            <w:vAlign w:val="center"/>
            <w:hideMark/>
          </w:tcPr>
          <w:p w14:paraId="12E0D0A8" w14:textId="77777777" w:rsidR="008C6701" w:rsidRDefault="008C6701">
            <w:pPr>
              <w:pStyle w:val="bmdsTblBody"/>
              <w:jc w:val="center"/>
            </w:pPr>
            <w:r>
              <w:rPr>
                <w:sz w:val="16"/>
              </w:rPr>
              <w:t>2</w:t>
            </w:r>
          </w:p>
        </w:tc>
      </w:tr>
      <w:tr w:rsidR="008C6701" w14:paraId="7B8F1B9F" w14:textId="77777777" w:rsidTr="008C6701">
        <w:tc>
          <w:tcPr>
            <w:tcW w:w="8640" w:type="dxa"/>
            <w:vAlign w:val="center"/>
            <w:hideMark/>
          </w:tcPr>
          <w:p w14:paraId="16215B47" w14:textId="77777777" w:rsidR="008C6701" w:rsidRDefault="008C6701">
            <w:pPr>
              <w:pStyle w:val="bmdsTblBody"/>
            </w:pPr>
            <w:r>
              <w:rPr>
                <w:b/>
              </w:rPr>
              <w:t>GO:0010907</w:t>
            </w:r>
          </w:p>
          <w:p w14:paraId="18B76885" w14:textId="77777777" w:rsidR="008C6701" w:rsidRDefault="008C6701">
            <w:pPr>
              <w:pStyle w:val="bmdsTblBody"/>
            </w:pPr>
            <w:r>
              <w:t>positive regulation of glucose metabolic process</w:t>
            </w:r>
          </w:p>
        </w:tc>
        <w:tc>
          <w:tcPr>
            <w:tcW w:w="8640" w:type="dxa"/>
            <w:vAlign w:val="center"/>
            <w:hideMark/>
          </w:tcPr>
          <w:p w14:paraId="4F3172DC" w14:textId="77777777" w:rsidR="008C6701" w:rsidRDefault="008C6701">
            <w:pPr>
              <w:pStyle w:val="bmdsTblBody"/>
              <w:jc w:val="center"/>
            </w:pPr>
            <w:r>
              <w:rPr>
                <w:sz w:val="16"/>
              </w:rPr>
              <w:t>3/41</w:t>
            </w:r>
          </w:p>
        </w:tc>
        <w:tc>
          <w:tcPr>
            <w:tcW w:w="3806" w:type="dxa"/>
            <w:vAlign w:val="center"/>
            <w:hideMark/>
          </w:tcPr>
          <w:p w14:paraId="371032C5" w14:textId="77777777" w:rsidR="008C6701" w:rsidRDefault="008C6701">
            <w:pPr>
              <w:pStyle w:val="bmdsTblBody"/>
              <w:jc w:val="center"/>
            </w:pPr>
            <w:r>
              <w:rPr>
                <w:sz w:val="16"/>
              </w:rPr>
              <w:t>7%</w:t>
            </w:r>
          </w:p>
        </w:tc>
        <w:tc>
          <w:tcPr>
            <w:tcW w:w="3806" w:type="dxa"/>
            <w:vAlign w:val="center"/>
            <w:hideMark/>
          </w:tcPr>
          <w:p w14:paraId="03788909" w14:textId="77777777" w:rsidR="008C6701" w:rsidRDefault="008C6701">
            <w:pPr>
              <w:pStyle w:val="bmdsTblBody"/>
              <w:jc w:val="center"/>
            </w:pPr>
            <w:proofErr w:type="spellStart"/>
            <w:r>
              <w:rPr>
                <w:sz w:val="16"/>
              </w:rPr>
              <w:t>Gck</w:t>
            </w:r>
            <w:proofErr w:type="spellEnd"/>
            <w:r>
              <w:rPr>
                <w:sz w:val="16"/>
              </w:rPr>
              <w:t xml:space="preserve">; </w:t>
            </w:r>
            <w:proofErr w:type="spellStart"/>
            <w:r>
              <w:rPr>
                <w:sz w:val="16"/>
              </w:rPr>
              <w:t>Tcf7l2</w:t>
            </w:r>
            <w:proofErr w:type="spellEnd"/>
            <w:r>
              <w:rPr>
                <w:sz w:val="16"/>
              </w:rPr>
              <w:t xml:space="preserve">; </w:t>
            </w:r>
            <w:proofErr w:type="spellStart"/>
            <w:r>
              <w:rPr>
                <w:sz w:val="16"/>
              </w:rPr>
              <w:t>Avpr1a</w:t>
            </w:r>
            <w:proofErr w:type="spellEnd"/>
          </w:p>
        </w:tc>
        <w:tc>
          <w:tcPr>
            <w:tcW w:w="3806" w:type="dxa"/>
            <w:vAlign w:val="center"/>
            <w:hideMark/>
          </w:tcPr>
          <w:p w14:paraId="422DCD1A" w14:textId="77777777" w:rsidR="008C6701" w:rsidRDefault="008C6701">
            <w:pPr>
              <w:pStyle w:val="bmdsTblBody"/>
              <w:jc w:val="center"/>
            </w:pPr>
            <w:r>
              <w:rPr>
                <w:sz w:val="16"/>
              </w:rPr>
              <w:t>&lt;25.7</w:t>
            </w:r>
          </w:p>
        </w:tc>
        <w:tc>
          <w:tcPr>
            <w:tcW w:w="3806" w:type="dxa"/>
            <w:vAlign w:val="center"/>
            <w:hideMark/>
          </w:tcPr>
          <w:p w14:paraId="72222613" w14:textId="77777777" w:rsidR="008C6701" w:rsidRDefault="008C6701">
            <w:pPr>
              <w:pStyle w:val="bmdsTblBody"/>
              <w:jc w:val="center"/>
            </w:pPr>
            <w:r>
              <w:rPr>
                <w:sz w:val="16"/>
              </w:rPr>
              <w:t>NR</w:t>
            </w:r>
          </w:p>
        </w:tc>
        <w:tc>
          <w:tcPr>
            <w:tcW w:w="3806" w:type="dxa"/>
            <w:vAlign w:val="center"/>
            <w:hideMark/>
          </w:tcPr>
          <w:p w14:paraId="231B999F" w14:textId="77777777" w:rsidR="008C6701" w:rsidRDefault="008C6701">
            <w:pPr>
              <w:pStyle w:val="bmdsTblBody"/>
              <w:jc w:val="center"/>
            </w:pPr>
            <w:r>
              <w:rPr>
                <w:sz w:val="16"/>
              </w:rPr>
              <w:t>1</w:t>
            </w:r>
          </w:p>
        </w:tc>
        <w:tc>
          <w:tcPr>
            <w:tcW w:w="3806" w:type="dxa"/>
            <w:vAlign w:val="center"/>
            <w:hideMark/>
          </w:tcPr>
          <w:p w14:paraId="74E11FD5" w14:textId="77777777" w:rsidR="008C6701" w:rsidRDefault="008C6701">
            <w:pPr>
              <w:pStyle w:val="bmdsTblBody"/>
              <w:jc w:val="center"/>
            </w:pPr>
            <w:r>
              <w:rPr>
                <w:sz w:val="16"/>
              </w:rPr>
              <w:t>2</w:t>
            </w:r>
          </w:p>
        </w:tc>
      </w:tr>
      <w:tr w:rsidR="008C6701" w14:paraId="1DEF30EE" w14:textId="77777777" w:rsidTr="008C6701">
        <w:tc>
          <w:tcPr>
            <w:tcW w:w="8640" w:type="dxa"/>
            <w:vAlign w:val="center"/>
            <w:hideMark/>
          </w:tcPr>
          <w:p w14:paraId="3C239CAC" w14:textId="77777777" w:rsidR="008C6701" w:rsidRDefault="008C6701">
            <w:pPr>
              <w:pStyle w:val="bmdsTblBody"/>
            </w:pPr>
            <w:r>
              <w:rPr>
                <w:b/>
              </w:rPr>
              <w:t>GO:0051412</w:t>
            </w:r>
          </w:p>
          <w:p w14:paraId="3D3E3A57" w14:textId="77777777" w:rsidR="008C6701" w:rsidRDefault="008C6701">
            <w:pPr>
              <w:pStyle w:val="bmdsTblBody"/>
            </w:pPr>
            <w:r>
              <w:t>response to corticosterone</w:t>
            </w:r>
          </w:p>
        </w:tc>
        <w:tc>
          <w:tcPr>
            <w:tcW w:w="8640" w:type="dxa"/>
            <w:vAlign w:val="center"/>
            <w:hideMark/>
          </w:tcPr>
          <w:p w14:paraId="1750FCDD" w14:textId="77777777" w:rsidR="008C6701" w:rsidRDefault="008C6701">
            <w:pPr>
              <w:pStyle w:val="bmdsTblBody"/>
              <w:jc w:val="center"/>
            </w:pPr>
            <w:r>
              <w:rPr>
                <w:sz w:val="16"/>
              </w:rPr>
              <w:t>3/41</w:t>
            </w:r>
          </w:p>
        </w:tc>
        <w:tc>
          <w:tcPr>
            <w:tcW w:w="3806" w:type="dxa"/>
            <w:vAlign w:val="center"/>
            <w:hideMark/>
          </w:tcPr>
          <w:p w14:paraId="19017B49" w14:textId="77777777" w:rsidR="008C6701" w:rsidRDefault="008C6701">
            <w:pPr>
              <w:pStyle w:val="bmdsTblBody"/>
              <w:jc w:val="center"/>
            </w:pPr>
            <w:r>
              <w:rPr>
                <w:sz w:val="16"/>
              </w:rPr>
              <w:t>7%</w:t>
            </w:r>
          </w:p>
        </w:tc>
        <w:tc>
          <w:tcPr>
            <w:tcW w:w="3806" w:type="dxa"/>
            <w:vAlign w:val="center"/>
            <w:hideMark/>
          </w:tcPr>
          <w:p w14:paraId="68E3608E" w14:textId="77777777" w:rsidR="008C6701" w:rsidRDefault="008C6701">
            <w:pPr>
              <w:pStyle w:val="bmdsTblBody"/>
              <w:jc w:val="center"/>
            </w:pPr>
            <w:proofErr w:type="spellStart"/>
            <w:r>
              <w:rPr>
                <w:sz w:val="16"/>
              </w:rPr>
              <w:t>Junb</w:t>
            </w:r>
            <w:proofErr w:type="spellEnd"/>
            <w:r>
              <w:rPr>
                <w:sz w:val="16"/>
              </w:rPr>
              <w:t xml:space="preserve">; </w:t>
            </w:r>
            <w:proofErr w:type="spellStart"/>
            <w:r>
              <w:rPr>
                <w:sz w:val="16"/>
              </w:rPr>
              <w:t>Cdkn1a</w:t>
            </w:r>
            <w:proofErr w:type="spellEnd"/>
            <w:r>
              <w:rPr>
                <w:sz w:val="16"/>
              </w:rPr>
              <w:t xml:space="preserve">; </w:t>
            </w:r>
            <w:proofErr w:type="spellStart"/>
            <w:r>
              <w:rPr>
                <w:sz w:val="16"/>
              </w:rPr>
              <w:t>Avpr1a</w:t>
            </w:r>
            <w:proofErr w:type="spellEnd"/>
          </w:p>
        </w:tc>
        <w:tc>
          <w:tcPr>
            <w:tcW w:w="3806" w:type="dxa"/>
            <w:vAlign w:val="center"/>
            <w:hideMark/>
          </w:tcPr>
          <w:p w14:paraId="75FC1AE6" w14:textId="77777777" w:rsidR="008C6701" w:rsidRDefault="008C6701">
            <w:pPr>
              <w:pStyle w:val="bmdsTblBody"/>
              <w:jc w:val="center"/>
            </w:pPr>
            <w:r>
              <w:rPr>
                <w:sz w:val="16"/>
              </w:rPr>
              <w:t>&lt;25.7</w:t>
            </w:r>
          </w:p>
        </w:tc>
        <w:tc>
          <w:tcPr>
            <w:tcW w:w="3806" w:type="dxa"/>
            <w:vAlign w:val="center"/>
            <w:hideMark/>
          </w:tcPr>
          <w:p w14:paraId="63A0D84C" w14:textId="77777777" w:rsidR="008C6701" w:rsidRDefault="008C6701">
            <w:pPr>
              <w:pStyle w:val="bmdsTblBody"/>
              <w:jc w:val="center"/>
            </w:pPr>
            <w:r>
              <w:rPr>
                <w:sz w:val="16"/>
              </w:rPr>
              <w:t>NR</w:t>
            </w:r>
          </w:p>
        </w:tc>
        <w:tc>
          <w:tcPr>
            <w:tcW w:w="3806" w:type="dxa"/>
            <w:vAlign w:val="center"/>
            <w:hideMark/>
          </w:tcPr>
          <w:p w14:paraId="2C96C76F" w14:textId="77777777" w:rsidR="008C6701" w:rsidRDefault="008C6701">
            <w:pPr>
              <w:pStyle w:val="bmdsTblBody"/>
              <w:jc w:val="center"/>
            </w:pPr>
            <w:r>
              <w:rPr>
                <w:sz w:val="16"/>
              </w:rPr>
              <w:t>0</w:t>
            </w:r>
          </w:p>
        </w:tc>
        <w:tc>
          <w:tcPr>
            <w:tcW w:w="3806" w:type="dxa"/>
            <w:vAlign w:val="center"/>
            <w:hideMark/>
          </w:tcPr>
          <w:p w14:paraId="2F6DAF6A" w14:textId="77777777" w:rsidR="008C6701" w:rsidRDefault="008C6701">
            <w:pPr>
              <w:pStyle w:val="bmdsTblBody"/>
              <w:jc w:val="center"/>
            </w:pPr>
            <w:r>
              <w:rPr>
                <w:sz w:val="16"/>
              </w:rPr>
              <w:t>3</w:t>
            </w:r>
          </w:p>
        </w:tc>
      </w:tr>
      <w:tr w:rsidR="008C6701" w14:paraId="15DB3FAA" w14:textId="77777777" w:rsidTr="008C6701">
        <w:tc>
          <w:tcPr>
            <w:tcW w:w="8640" w:type="dxa"/>
            <w:tcBorders>
              <w:top w:val="nil"/>
              <w:left w:val="nil"/>
              <w:bottom w:val="single" w:sz="2" w:space="0" w:color="000000"/>
              <w:right w:val="nil"/>
            </w:tcBorders>
            <w:vAlign w:val="center"/>
            <w:hideMark/>
          </w:tcPr>
          <w:p w14:paraId="7C34CF82" w14:textId="77777777" w:rsidR="008C6701" w:rsidRDefault="008C6701">
            <w:pPr>
              <w:pStyle w:val="bmdsTblBody"/>
            </w:pPr>
            <w:r>
              <w:rPr>
                <w:b/>
              </w:rPr>
              <w:t>GO:0090398</w:t>
            </w:r>
          </w:p>
          <w:p w14:paraId="11099F26" w14:textId="77777777" w:rsidR="008C6701" w:rsidRDefault="008C6701">
            <w:pPr>
              <w:pStyle w:val="bmdsTblBody"/>
            </w:pPr>
            <w:r>
              <w:t>cellular senescence</w:t>
            </w:r>
          </w:p>
        </w:tc>
        <w:tc>
          <w:tcPr>
            <w:tcW w:w="8640" w:type="dxa"/>
            <w:tcBorders>
              <w:top w:val="nil"/>
              <w:left w:val="nil"/>
              <w:bottom w:val="single" w:sz="2" w:space="0" w:color="000000"/>
              <w:right w:val="nil"/>
            </w:tcBorders>
            <w:vAlign w:val="center"/>
            <w:hideMark/>
          </w:tcPr>
          <w:p w14:paraId="392B1E17" w14:textId="77777777" w:rsidR="008C6701" w:rsidRDefault="008C6701">
            <w:pPr>
              <w:pStyle w:val="bmdsTblBody"/>
              <w:jc w:val="center"/>
            </w:pPr>
            <w:r>
              <w:rPr>
                <w:sz w:val="16"/>
              </w:rPr>
              <w:t>4/30</w:t>
            </w:r>
          </w:p>
        </w:tc>
        <w:tc>
          <w:tcPr>
            <w:tcW w:w="3806" w:type="dxa"/>
            <w:tcBorders>
              <w:top w:val="nil"/>
              <w:left w:val="nil"/>
              <w:bottom w:val="single" w:sz="2" w:space="0" w:color="000000"/>
              <w:right w:val="nil"/>
            </w:tcBorders>
            <w:vAlign w:val="center"/>
            <w:hideMark/>
          </w:tcPr>
          <w:p w14:paraId="462E356B" w14:textId="77777777" w:rsidR="008C6701" w:rsidRDefault="008C6701">
            <w:pPr>
              <w:pStyle w:val="bmdsTblBody"/>
              <w:jc w:val="center"/>
            </w:pPr>
            <w:r>
              <w:rPr>
                <w:sz w:val="16"/>
              </w:rPr>
              <w:t>13%</w:t>
            </w:r>
          </w:p>
        </w:tc>
        <w:tc>
          <w:tcPr>
            <w:tcW w:w="3806" w:type="dxa"/>
            <w:tcBorders>
              <w:top w:val="nil"/>
              <w:left w:val="nil"/>
              <w:bottom w:val="single" w:sz="2" w:space="0" w:color="000000"/>
              <w:right w:val="nil"/>
            </w:tcBorders>
            <w:vAlign w:val="center"/>
            <w:hideMark/>
          </w:tcPr>
          <w:p w14:paraId="75C41446" w14:textId="77777777" w:rsidR="008C6701" w:rsidRDefault="008C6701">
            <w:pPr>
              <w:pStyle w:val="bmdsTblBody"/>
              <w:jc w:val="center"/>
            </w:pPr>
            <w:proofErr w:type="spellStart"/>
            <w:r>
              <w:rPr>
                <w:sz w:val="16"/>
              </w:rPr>
              <w:t>Cdkn1a</w:t>
            </w:r>
            <w:proofErr w:type="spellEnd"/>
            <w:r>
              <w:rPr>
                <w:sz w:val="16"/>
              </w:rPr>
              <w:t xml:space="preserve">; </w:t>
            </w:r>
            <w:proofErr w:type="spellStart"/>
            <w:r>
              <w:rPr>
                <w:sz w:val="16"/>
              </w:rPr>
              <w:t>Tbx3</w:t>
            </w:r>
            <w:proofErr w:type="spellEnd"/>
            <w:r>
              <w:rPr>
                <w:sz w:val="16"/>
              </w:rPr>
              <w:t xml:space="preserve">; </w:t>
            </w:r>
            <w:proofErr w:type="spellStart"/>
            <w:r>
              <w:rPr>
                <w:sz w:val="16"/>
              </w:rPr>
              <w:t>Arntl</w:t>
            </w:r>
            <w:proofErr w:type="spellEnd"/>
            <w:r>
              <w:rPr>
                <w:sz w:val="16"/>
              </w:rPr>
              <w:t xml:space="preserve">; </w:t>
            </w:r>
            <w:proofErr w:type="spellStart"/>
            <w:r>
              <w:rPr>
                <w:sz w:val="16"/>
              </w:rPr>
              <w:t>Lmna</w:t>
            </w:r>
            <w:proofErr w:type="spellEnd"/>
          </w:p>
        </w:tc>
        <w:tc>
          <w:tcPr>
            <w:tcW w:w="3806" w:type="dxa"/>
            <w:tcBorders>
              <w:top w:val="nil"/>
              <w:left w:val="nil"/>
              <w:bottom w:val="single" w:sz="2" w:space="0" w:color="000000"/>
              <w:right w:val="nil"/>
            </w:tcBorders>
            <w:vAlign w:val="center"/>
            <w:hideMark/>
          </w:tcPr>
          <w:p w14:paraId="7E4AA96D" w14:textId="77777777" w:rsidR="008C6701" w:rsidRDefault="008C6701">
            <w:pPr>
              <w:pStyle w:val="bmdsTblBody"/>
              <w:jc w:val="center"/>
            </w:pPr>
            <w:r>
              <w:rPr>
                <w:sz w:val="16"/>
              </w:rPr>
              <w:t>&lt;25.7</w:t>
            </w:r>
          </w:p>
        </w:tc>
        <w:tc>
          <w:tcPr>
            <w:tcW w:w="3806" w:type="dxa"/>
            <w:tcBorders>
              <w:top w:val="nil"/>
              <w:left w:val="nil"/>
              <w:bottom w:val="single" w:sz="2" w:space="0" w:color="000000"/>
              <w:right w:val="nil"/>
            </w:tcBorders>
            <w:vAlign w:val="center"/>
            <w:hideMark/>
          </w:tcPr>
          <w:p w14:paraId="1152BF4D" w14:textId="77777777" w:rsidR="008C6701" w:rsidRDefault="008C6701">
            <w:pPr>
              <w:pStyle w:val="bmdsTblBody"/>
              <w:jc w:val="center"/>
            </w:pPr>
            <w:r>
              <w:rPr>
                <w:sz w:val="16"/>
              </w:rPr>
              <w:t>NR</w:t>
            </w:r>
          </w:p>
        </w:tc>
        <w:tc>
          <w:tcPr>
            <w:tcW w:w="3806" w:type="dxa"/>
            <w:tcBorders>
              <w:top w:val="nil"/>
              <w:left w:val="nil"/>
              <w:bottom w:val="single" w:sz="2" w:space="0" w:color="000000"/>
              <w:right w:val="nil"/>
            </w:tcBorders>
            <w:vAlign w:val="center"/>
            <w:hideMark/>
          </w:tcPr>
          <w:p w14:paraId="2E819476" w14:textId="77777777" w:rsidR="008C6701" w:rsidRDefault="008C6701">
            <w:pPr>
              <w:pStyle w:val="bmdsTblBody"/>
              <w:jc w:val="center"/>
            </w:pPr>
            <w:r>
              <w:rPr>
                <w:sz w:val="16"/>
              </w:rPr>
              <w:t>2</w:t>
            </w:r>
          </w:p>
        </w:tc>
        <w:tc>
          <w:tcPr>
            <w:tcW w:w="3806" w:type="dxa"/>
            <w:tcBorders>
              <w:top w:val="nil"/>
              <w:left w:val="nil"/>
              <w:bottom w:val="single" w:sz="2" w:space="0" w:color="000000"/>
              <w:right w:val="nil"/>
            </w:tcBorders>
            <w:vAlign w:val="center"/>
            <w:hideMark/>
          </w:tcPr>
          <w:p w14:paraId="3C294224" w14:textId="77777777" w:rsidR="008C6701" w:rsidRDefault="008C6701">
            <w:pPr>
              <w:pStyle w:val="bmdsTblBody"/>
              <w:jc w:val="center"/>
            </w:pPr>
            <w:r>
              <w:rPr>
                <w:sz w:val="16"/>
              </w:rPr>
              <w:t>2</w:t>
            </w:r>
          </w:p>
        </w:tc>
      </w:tr>
    </w:tbl>
    <w:p w14:paraId="17261568" w14:textId="77777777" w:rsidR="008C6701" w:rsidRDefault="008C6701" w:rsidP="008C6701">
      <w:pPr>
        <w:pStyle w:val="bmdsTblFootnote"/>
      </w:pPr>
      <w:r>
        <w:t>Official gene symbols from the Rat Genome Database are shown in the “Active Genes” column. Definitions of Gene Ontology terms were provided by the Gene Ontology Resource (http://geneontology.org/).</w:t>
      </w:r>
    </w:p>
    <w:p w14:paraId="2B0FF68C" w14:textId="77777777" w:rsidR="008C6701" w:rsidRDefault="008C6701" w:rsidP="008C6701">
      <w:pPr>
        <w:pStyle w:val="bmdsTblFootnote"/>
      </w:pPr>
      <w:r>
        <w:t>&lt;25.7 = A best-fit model as identified calculated a BMD that was less than 1/3 of the lowest tested dose in this study.</w:t>
      </w:r>
    </w:p>
    <w:p w14:paraId="1E722271" w14:textId="77777777" w:rsidR="008C6701" w:rsidRDefault="008C6701" w:rsidP="008C6701">
      <w:pPr>
        <w:pStyle w:val="bmdsTblFootnote"/>
      </w:pPr>
      <w:r>
        <w:t>NR = The BMDL-BMDU range is not reportable because the BMD median is below the lower limit of extrapolation (less than 1/3 of the lowest tested dose in this study).</w:t>
      </w:r>
    </w:p>
    <w:p w14:paraId="72B5F4F5" w14:textId="77777777" w:rsidR="0008235F" w:rsidRDefault="0008235F" w:rsidP="0008235F">
      <w:pPr>
        <w:pStyle w:val="bmdsTblFootnote"/>
      </w:pPr>
      <w:r>
        <w:rPr>
          <w:b/>
        </w:rPr>
        <w:t xml:space="preserve">GO process description version: </w:t>
      </w:r>
      <w:r w:rsidRPr="0008235F">
        <w:rPr>
          <w:bCs/>
        </w:rPr>
        <w:t>https:</w:t>
      </w:r>
      <w:r>
        <w:t xml:space="preserve">//cebs.niehs.nih.gov/cebs/study/002-00600-0002-000-0 </w:t>
      </w:r>
      <w:proofErr w:type="spellStart"/>
      <w:r>
        <w:t>V04132020</w:t>
      </w:r>
      <w:proofErr w:type="spellEnd"/>
    </w:p>
    <w:p w14:paraId="65C9C024" w14:textId="77777777" w:rsidR="008C6701" w:rsidRDefault="008C6701" w:rsidP="008C6701">
      <w:pPr>
        <w:pStyle w:val="bmdsTblFootnote"/>
      </w:pPr>
      <w:r>
        <w:rPr>
          <w:b/>
        </w:rPr>
        <w:t>GO:0005978 glycogen biosynthetic process:</w:t>
      </w:r>
      <w:r>
        <w:t xml:space="preserve"> The chemical reactions and pathways resulting in the formation of glycogen, a polydisperse, highly branched glucan composed of chains of D-glucose residues.</w:t>
      </w:r>
    </w:p>
    <w:p w14:paraId="07DD151A" w14:textId="77777777" w:rsidR="008C6701" w:rsidRDefault="008C6701" w:rsidP="008C6701">
      <w:pPr>
        <w:pStyle w:val="bmdsTblFootnote"/>
      </w:pPr>
      <w:r>
        <w:rPr>
          <w:b/>
        </w:rPr>
        <w:t>GO:0009250 glucan biosynthetic process:</w:t>
      </w:r>
      <w:r>
        <w:t xml:space="preserve"> The chemical reactions and pathways resulting in the formation of glucans, polysaccharides consisting only of glucose residues.</w:t>
      </w:r>
    </w:p>
    <w:p w14:paraId="477F28C3" w14:textId="77777777" w:rsidR="008C6701" w:rsidRDefault="008C6701" w:rsidP="008C6701">
      <w:pPr>
        <w:pStyle w:val="bmdsTblFootnote"/>
      </w:pPr>
      <w:r>
        <w:rPr>
          <w:b/>
        </w:rPr>
        <w:lastRenderedPageBreak/>
        <w:t>GO:0043401 steroid hormone mediated signaling pathway:</w:t>
      </w:r>
      <w:r>
        <w:t xml:space="preserve"> A series of molecular signals mediated by a steroid hormone binding to a receptor.</w:t>
      </w:r>
    </w:p>
    <w:p w14:paraId="744BA205" w14:textId="77777777" w:rsidR="008C6701" w:rsidRDefault="008C6701" w:rsidP="008C6701">
      <w:pPr>
        <w:pStyle w:val="bmdsTblFootnote"/>
      </w:pPr>
      <w:r>
        <w:rPr>
          <w:b/>
        </w:rPr>
        <w:t>GO:0055007 cardiac muscle cell differentiation:</w:t>
      </w:r>
      <w:r>
        <w:t xml:space="preserve"> The process in which a cardiac muscle precursor cell acquires specialized features of a cardiac muscle cell. Cardiac muscle cells are striated muscle cells that are responsible for heart contraction.</w:t>
      </w:r>
    </w:p>
    <w:p w14:paraId="14938A36" w14:textId="77777777" w:rsidR="008C6701" w:rsidRDefault="008C6701" w:rsidP="008C6701">
      <w:pPr>
        <w:pStyle w:val="bmdsTblFootnote"/>
      </w:pPr>
      <w:r>
        <w:rPr>
          <w:b/>
        </w:rPr>
        <w:t>GO:0048641 regulation of skeletal muscle tissue development:</w:t>
      </w:r>
      <w:r>
        <w:t xml:space="preserve"> Any process that modulates the frequency, </w:t>
      </w:r>
      <w:proofErr w:type="gramStart"/>
      <w:r>
        <w:t>rate</w:t>
      </w:r>
      <w:proofErr w:type="gramEnd"/>
      <w:r>
        <w:t xml:space="preserve"> or extent of skeletal muscle tissue development.</w:t>
      </w:r>
    </w:p>
    <w:p w14:paraId="7B29FEC6" w14:textId="77777777" w:rsidR="008C6701" w:rsidRDefault="008C6701" w:rsidP="008C6701">
      <w:pPr>
        <w:pStyle w:val="bmdsTblFootnote"/>
      </w:pPr>
      <w:r>
        <w:rPr>
          <w:b/>
        </w:rPr>
        <w:t>GO:0051146 striated muscle cell differentiation:</w:t>
      </w:r>
      <w:r>
        <w:t xml:space="preserve"> The process in which a relatively unspecialized cell acquires specialized features of a striated muscle cell; striated muscle fibers are divided by transverse bands into striations, and cardiac and voluntary muscle are types of striated muscle.</w:t>
      </w:r>
    </w:p>
    <w:p w14:paraId="151FE4DF" w14:textId="77777777" w:rsidR="008C6701" w:rsidRDefault="008C6701" w:rsidP="008C6701">
      <w:pPr>
        <w:pStyle w:val="bmdsTblFootnote"/>
      </w:pPr>
      <w:r>
        <w:rPr>
          <w:b/>
        </w:rPr>
        <w:t>GO:0043470 regulation of carbohydrate catabolic process:</w:t>
      </w:r>
      <w:r>
        <w:t xml:space="preserve"> Any process that modulates the frequency, rate, or extent of the chemical reactions and pathways resulting in the breakdown of carbohydrates.</w:t>
      </w:r>
    </w:p>
    <w:p w14:paraId="039C0B11" w14:textId="77777777" w:rsidR="008C6701" w:rsidRDefault="008C6701" w:rsidP="008C6701">
      <w:pPr>
        <w:pStyle w:val="bmdsTblFootnote"/>
      </w:pPr>
      <w:r>
        <w:rPr>
          <w:b/>
        </w:rPr>
        <w:t>GO:0010907 positive regulation of glucose metabolic process:</w:t>
      </w:r>
      <w:r>
        <w:t xml:space="preserve"> Any process that increases the rate, </w:t>
      </w:r>
      <w:proofErr w:type="gramStart"/>
      <w:r>
        <w:t>frequency</w:t>
      </w:r>
      <w:proofErr w:type="gramEnd"/>
      <w:r>
        <w:t xml:space="preserve"> or extent of glucose metabolism. Glucose metabolic processes are the chemical reactions and pathways involving glucose, the aldohexose </w:t>
      </w:r>
      <w:proofErr w:type="spellStart"/>
      <w:r>
        <w:t>gluco</w:t>
      </w:r>
      <w:proofErr w:type="spellEnd"/>
      <w:r>
        <w:t>-hexose.</w:t>
      </w:r>
    </w:p>
    <w:p w14:paraId="14614CAB" w14:textId="77777777" w:rsidR="008C6701" w:rsidRDefault="008C6701" w:rsidP="008C6701">
      <w:pPr>
        <w:pStyle w:val="bmdsTblFootnote"/>
      </w:pPr>
      <w:r>
        <w:rPr>
          <w:b/>
        </w:rPr>
        <w:t>GO:0051412 response to corticosterone:</w:t>
      </w:r>
      <w:r>
        <w:t xml:space="preserve"> Any process that results in a change in state or activity of a cell or an organism (in terms of movement, secretion, enzyme production, gene expression, etc.) </w:t>
      </w:r>
      <w:proofErr w:type="gramStart"/>
      <w:r>
        <w:t>as a result of</w:t>
      </w:r>
      <w:proofErr w:type="gramEnd"/>
      <w:r>
        <w:t xml:space="preserve"> a corticosterone stimulus. Corticosterone is a </w:t>
      </w:r>
      <w:proofErr w:type="gramStart"/>
      <w:r>
        <w:t>21 carbon</w:t>
      </w:r>
      <w:proofErr w:type="gramEnd"/>
      <w:r>
        <w:t xml:space="preserve"> steroid hormone of the corticosteroid type, produced in the cortex of the adrenal glands. In many species, corticosterone is the principal glucocorticoid, involved in regulation of fuel metabolism, immune reactions, and stress responses.</w:t>
      </w:r>
    </w:p>
    <w:p w14:paraId="73C6E627" w14:textId="77777777" w:rsidR="008C6701" w:rsidRDefault="008C6701" w:rsidP="008C6701">
      <w:pPr>
        <w:pStyle w:val="bmdsTblFootnote"/>
      </w:pPr>
      <w:r>
        <w:rPr>
          <w:b/>
        </w:rPr>
        <w:t>GO:0090398 cellular senescence:</w:t>
      </w:r>
      <w:r>
        <w:t xml:space="preserve"> A cell aging process stimulated in response to cellular stress, whereby normal cells lose the ability to divide through irreversible cell cycle arrest.</w:t>
      </w:r>
    </w:p>
    <w:p w14:paraId="7121AE93" w14:textId="77777777" w:rsidR="00C505B6" w:rsidRDefault="0008235F"/>
    <w:sectPr w:rsidR="00C50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2B"/>
    <w:rsid w:val="0008235F"/>
    <w:rsid w:val="0021102E"/>
    <w:rsid w:val="00322A2B"/>
    <w:rsid w:val="008C6701"/>
    <w:rsid w:val="00CC3A13"/>
    <w:rsid w:val="00F50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E64C3-5CEE-420B-BA19-2EF13DC5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701"/>
    <w:pPr>
      <w:spacing w:after="0" w:line="240" w:lineRule="auto"/>
    </w:pPr>
    <w:rPr>
      <w:sz w:val="24"/>
      <w:szCs w:val="24"/>
    </w:rPr>
  </w:style>
  <w:style w:type="paragraph" w:styleId="Heading3">
    <w:name w:val="heading 3"/>
    <w:basedOn w:val="Normal"/>
    <w:next w:val="Normal"/>
    <w:link w:val="Heading3Char"/>
    <w:uiPriority w:val="9"/>
    <w:semiHidden/>
    <w:unhideWhenUsed/>
    <w:qFormat/>
    <w:rsid w:val="008C6701"/>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C6701"/>
    <w:rPr>
      <w:rFonts w:eastAsiaTheme="majorEastAsia" w:cstheme="majorBidi"/>
      <w:b/>
      <w:color w:val="000000" w:themeColor="text1"/>
      <w:sz w:val="24"/>
      <w:szCs w:val="24"/>
    </w:rPr>
  </w:style>
  <w:style w:type="paragraph" w:customStyle="1" w:styleId="bmdsTblBody">
    <w:name w:val="bmdsTblBody"/>
    <w:basedOn w:val="Normal"/>
    <w:qFormat/>
    <w:rsid w:val="008C6701"/>
    <w:rPr>
      <w:rFonts w:ascii="Times New Roman" w:hAnsi="Times New Roman"/>
      <w:sz w:val="18"/>
    </w:rPr>
  </w:style>
  <w:style w:type="paragraph" w:customStyle="1" w:styleId="bmdsTblFootnote">
    <w:name w:val="bmdsTblFootnote"/>
    <w:basedOn w:val="bmdsTblBody"/>
    <w:qFormat/>
    <w:rsid w:val="008C6701"/>
  </w:style>
  <w:style w:type="paragraph" w:customStyle="1" w:styleId="bmdsTblHeader">
    <w:name w:val="bmdsTblHeader"/>
    <w:basedOn w:val="bmdsTblBody"/>
    <w:qFormat/>
    <w:rsid w:val="008C670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984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Shihan (NIH/NIEHS) [C]</dc:creator>
  <cp:keywords/>
  <dc:description/>
  <cp:lastModifiedBy>He, Shihan (NIH/NIEHS) [C]</cp:lastModifiedBy>
  <cp:revision>4</cp:revision>
  <dcterms:created xsi:type="dcterms:W3CDTF">2021-05-21T14:21:00Z</dcterms:created>
  <dcterms:modified xsi:type="dcterms:W3CDTF">2021-07-13T16:15:00Z</dcterms:modified>
</cp:coreProperties>
</file>