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9DCEF1" w14:textId="77777777" w:rsidR="00DE625B" w:rsidRDefault="00DE625B" w:rsidP="00DE625B">
      <w:pPr>
        <w:pStyle w:val="Heading3"/>
      </w:pPr>
      <w:r>
        <w:t>Top 10 GO Biological Process Gene Sets Ranked by Potency of Perturbation (Sorted by BMD Median)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01"/>
        <w:gridCol w:w="1501"/>
        <w:gridCol w:w="976"/>
        <w:gridCol w:w="1327"/>
        <w:gridCol w:w="1144"/>
        <w:gridCol w:w="1079"/>
        <w:gridCol w:w="966"/>
        <w:gridCol w:w="966"/>
      </w:tblGrid>
      <w:tr w:rsidR="00DE625B" w14:paraId="21A2E0B3" w14:textId="77777777" w:rsidTr="00DE625B"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E18CA65" w14:textId="77777777" w:rsidR="00DE625B" w:rsidRDefault="00DE625B">
            <w:pPr>
              <w:pStyle w:val="bmdsTblBody"/>
            </w:pPr>
            <w:r>
              <w:rPr>
                <w:b/>
              </w:rPr>
              <w:t>Category Name</w:t>
            </w:r>
          </w:p>
        </w:tc>
        <w:tc>
          <w:tcPr>
            <w:tcW w:w="86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8194C2C" w14:textId="77777777" w:rsidR="00DE625B" w:rsidRDefault="00DE625B">
            <w:pPr>
              <w:pStyle w:val="bmdsTblHeader"/>
              <w:jc w:val="center"/>
            </w:pPr>
            <w:r>
              <w:t>Input Genes/Platform Genes in Gene Set</w:t>
            </w:r>
          </w:p>
        </w:tc>
        <w:tc>
          <w:tcPr>
            <w:tcW w:w="3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5D8C18C3" w14:textId="77777777" w:rsidR="00DE625B" w:rsidRDefault="00DE625B">
            <w:pPr>
              <w:pStyle w:val="bmdsTblHeader"/>
              <w:jc w:val="center"/>
            </w:pPr>
            <w:r>
              <w:t>% Gene Set Coverage</w:t>
            </w:r>
          </w:p>
        </w:tc>
        <w:tc>
          <w:tcPr>
            <w:tcW w:w="3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29ED671" w14:textId="77777777" w:rsidR="00DE625B" w:rsidRDefault="00DE625B">
            <w:pPr>
              <w:pStyle w:val="bmdsTblHeader"/>
              <w:jc w:val="center"/>
            </w:pPr>
            <w:r>
              <w:t>Active Genes</w:t>
            </w:r>
          </w:p>
        </w:tc>
        <w:tc>
          <w:tcPr>
            <w:tcW w:w="3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2959295" w14:textId="77777777" w:rsidR="00DE625B" w:rsidRDefault="00DE625B">
            <w:pPr>
              <w:pStyle w:val="bmdsTblHeader"/>
              <w:jc w:val="center"/>
            </w:pPr>
            <w:proofErr w:type="spellStart"/>
            <w:r>
              <w:t>BMD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Median of Gene Set Transcripts (mg/kg)</w:t>
            </w:r>
          </w:p>
        </w:tc>
        <w:tc>
          <w:tcPr>
            <w:tcW w:w="3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F251653" w14:textId="77777777" w:rsidR="00DE625B" w:rsidRDefault="00DE625B">
            <w:pPr>
              <w:pStyle w:val="bmdsTblHeader"/>
              <w:jc w:val="center"/>
            </w:pPr>
            <w:r>
              <w:t xml:space="preserve">Median </w:t>
            </w:r>
            <w:proofErr w:type="spellStart"/>
            <w:r>
              <w:t>BMDL</w:t>
            </w:r>
            <w:r>
              <w:rPr>
                <w:vertAlign w:val="subscript"/>
              </w:rPr>
              <w:t>1Std</w:t>
            </w:r>
            <w:r>
              <w:t>-BMDU</w:t>
            </w:r>
            <w:r>
              <w:rPr>
                <w:vertAlign w:val="subscript"/>
              </w:rPr>
              <w:t>1Std</w:t>
            </w:r>
            <w:proofErr w:type="spellEnd"/>
            <w:r>
              <w:t xml:space="preserve"> (mg/kg)</w:t>
            </w:r>
          </w:p>
        </w:tc>
        <w:tc>
          <w:tcPr>
            <w:tcW w:w="3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CD650D7" w14:textId="77777777" w:rsidR="00DE625B" w:rsidRDefault="00DE625B">
            <w:pPr>
              <w:pStyle w:val="bmdsTblHeader"/>
              <w:jc w:val="center"/>
            </w:pPr>
            <w:r>
              <w:t>Genes with Changed Direction Up</w:t>
            </w:r>
          </w:p>
        </w:tc>
        <w:tc>
          <w:tcPr>
            <w:tcW w:w="380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4E7F4B1" w14:textId="77777777" w:rsidR="00DE625B" w:rsidRDefault="00DE625B">
            <w:pPr>
              <w:pStyle w:val="bmdsTblHeader"/>
              <w:jc w:val="center"/>
            </w:pPr>
            <w:r>
              <w:t>Genes with Changed Direction Down</w:t>
            </w:r>
          </w:p>
        </w:tc>
      </w:tr>
      <w:tr w:rsidR="00DE625B" w14:paraId="2E399FBC" w14:textId="77777777" w:rsidTr="00DE625B">
        <w:tc>
          <w:tcPr>
            <w:tcW w:w="8640" w:type="dxa"/>
            <w:vAlign w:val="center"/>
            <w:hideMark/>
          </w:tcPr>
          <w:p w14:paraId="009307ED" w14:textId="77777777" w:rsidR="00DE625B" w:rsidRDefault="00DE625B">
            <w:pPr>
              <w:pStyle w:val="bmdsTblBody"/>
            </w:pPr>
            <w:r>
              <w:rPr>
                <w:b/>
              </w:rPr>
              <w:t>GO:0071549</w:t>
            </w:r>
          </w:p>
          <w:p w14:paraId="23A3BADC" w14:textId="77777777" w:rsidR="00DE625B" w:rsidRDefault="00DE625B">
            <w:pPr>
              <w:pStyle w:val="bmdsTblBody"/>
            </w:pPr>
            <w:r>
              <w:t>cellular response to dexamethasone stimulus</w:t>
            </w:r>
          </w:p>
        </w:tc>
        <w:tc>
          <w:tcPr>
            <w:tcW w:w="8640" w:type="dxa"/>
            <w:vAlign w:val="center"/>
            <w:hideMark/>
          </w:tcPr>
          <w:p w14:paraId="5B444065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4/67</w:t>
            </w:r>
          </w:p>
        </w:tc>
        <w:tc>
          <w:tcPr>
            <w:tcW w:w="3806" w:type="dxa"/>
            <w:vAlign w:val="center"/>
            <w:hideMark/>
          </w:tcPr>
          <w:p w14:paraId="64674A0E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6%</w:t>
            </w:r>
          </w:p>
        </w:tc>
        <w:tc>
          <w:tcPr>
            <w:tcW w:w="3806" w:type="dxa"/>
            <w:vAlign w:val="center"/>
            <w:hideMark/>
          </w:tcPr>
          <w:p w14:paraId="6990D7B2" w14:textId="77777777" w:rsidR="00DE625B" w:rsidRDefault="00DE625B">
            <w:pPr>
              <w:pStyle w:val="bmdsTblBody"/>
              <w:jc w:val="center"/>
            </w:pPr>
            <w:proofErr w:type="spellStart"/>
            <w:r>
              <w:rPr>
                <w:sz w:val="16"/>
              </w:rPr>
              <w:t>Igfals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Errfi1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Hnrnpu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Ddit4</w:t>
            </w:r>
            <w:proofErr w:type="spellEnd"/>
          </w:p>
        </w:tc>
        <w:tc>
          <w:tcPr>
            <w:tcW w:w="3806" w:type="dxa"/>
            <w:vAlign w:val="center"/>
            <w:hideMark/>
          </w:tcPr>
          <w:p w14:paraId="74AFB4FB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58.5</w:t>
            </w:r>
          </w:p>
        </w:tc>
        <w:tc>
          <w:tcPr>
            <w:tcW w:w="3806" w:type="dxa"/>
            <w:vAlign w:val="center"/>
            <w:hideMark/>
          </w:tcPr>
          <w:p w14:paraId="13BF01EA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34.0-168.5</w:t>
            </w:r>
          </w:p>
        </w:tc>
        <w:tc>
          <w:tcPr>
            <w:tcW w:w="3806" w:type="dxa"/>
            <w:vAlign w:val="center"/>
            <w:hideMark/>
          </w:tcPr>
          <w:p w14:paraId="21B923E2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3806" w:type="dxa"/>
            <w:vAlign w:val="center"/>
            <w:hideMark/>
          </w:tcPr>
          <w:p w14:paraId="56A25F94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3</w:t>
            </w:r>
          </w:p>
        </w:tc>
      </w:tr>
      <w:tr w:rsidR="00DE625B" w14:paraId="0A16D570" w14:textId="77777777" w:rsidTr="00DE625B">
        <w:tc>
          <w:tcPr>
            <w:tcW w:w="8640" w:type="dxa"/>
            <w:vAlign w:val="center"/>
            <w:hideMark/>
          </w:tcPr>
          <w:p w14:paraId="73B1C982" w14:textId="77777777" w:rsidR="00DE625B" w:rsidRDefault="00DE625B">
            <w:pPr>
              <w:pStyle w:val="bmdsTblBody"/>
            </w:pPr>
            <w:r>
              <w:rPr>
                <w:b/>
              </w:rPr>
              <w:t>GO:0071385</w:t>
            </w:r>
          </w:p>
          <w:p w14:paraId="068C74BE" w14:textId="77777777" w:rsidR="00DE625B" w:rsidRDefault="00DE625B">
            <w:pPr>
              <w:pStyle w:val="bmdsTblBody"/>
            </w:pPr>
            <w:r>
              <w:t>cellular response to glucocorticoid stimulus</w:t>
            </w:r>
          </w:p>
        </w:tc>
        <w:tc>
          <w:tcPr>
            <w:tcW w:w="8640" w:type="dxa"/>
            <w:vAlign w:val="center"/>
            <w:hideMark/>
          </w:tcPr>
          <w:p w14:paraId="556761E2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6/107</w:t>
            </w:r>
          </w:p>
        </w:tc>
        <w:tc>
          <w:tcPr>
            <w:tcW w:w="3806" w:type="dxa"/>
            <w:vAlign w:val="center"/>
            <w:hideMark/>
          </w:tcPr>
          <w:p w14:paraId="7A22F22A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6%</w:t>
            </w:r>
          </w:p>
        </w:tc>
        <w:tc>
          <w:tcPr>
            <w:tcW w:w="3806" w:type="dxa"/>
            <w:vAlign w:val="center"/>
            <w:hideMark/>
          </w:tcPr>
          <w:p w14:paraId="29B13802" w14:textId="77777777" w:rsidR="00DE625B" w:rsidRDefault="00DE625B">
            <w:pPr>
              <w:pStyle w:val="bmdsTblBody"/>
              <w:jc w:val="center"/>
            </w:pPr>
            <w:proofErr w:type="spellStart"/>
            <w:r>
              <w:rPr>
                <w:sz w:val="16"/>
              </w:rPr>
              <w:t>Igfals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Errfi1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Hnrnpu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Lmnb1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Orm1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Ddit4</w:t>
            </w:r>
            <w:proofErr w:type="spellEnd"/>
          </w:p>
        </w:tc>
        <w:tc>
          <w:tcPr>
            <w:tcW w:w="3806" w:type="dxa"/>
            <w:vAlign w:val="center"/>
            <w:hideMark/>
          </w:tcPr>
          <w:p w14:paraId="0EBE7D38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58.5</w:t>
            </w:r>
          </w:p>
        </w:tc>
        <w:tc>
          <w:tcPr>
            <w:tcW w:w="3806" w:type="dxa"/>
            <w:vAlign w:val="center"/>
            <w:hideMark/>
          </w:tcPr>
          <w:p w14:paraId="3CD694AD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34.0-168.5</w:t>
            </w:r>
          </w:p>
        </w:tc>
        <w:tc>
          <w:tcPr>
            <w:tcW w:w="3806" w:type="dxa"/>
            <w:vAlign w:val="center"/>
            <w:hideMark/>
          </w:tcPr>
          <w:p w14:paraId="0F1287B1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3806" w:type="dxa"/>
            <w:vAlign w:val="center"/>
            <w:hideMark/>
          </w:tcPr>
          <w:p w14:paraId="54EC58C8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3</w:t>
            </w:r>
          </w:p>
        </w:tc>
      </w:tr>
      <w:tr w:rsidR="00DE625B" w14:paraId="01E3A8D4" w14:textId="77777777" w:rsidTr="00DE625B">
        <w:tc>
          <w:tcPr>
            <w:tcW w:w="8640" w:type="dxa"/>
            <w:vAlign w:val="center"/>
            <w:hideMark/>
          </w:tcPr>
          <w:p w14:paraId="2906E8EE" w14:textId="77777777" w:rsidR="00DE625B" w:rsidRDefault="00DE625B">
            <w:pPr>
              <w:pStyle w:val="bmdsTblBody"/>
            </w:pPr>
            <w:r>
              <w:rPr>
                <w:b/>
              </w:rPr>
              <w:t>GO:0035176</w:t>
            </w:r>
          </w:p>
          <w:p w14:paraId="0922B1A1" w14:textId="77777777" w:rsidR="00DE625B" w:rsidRDefault="00DE625B">
            <w:pPr>
              <w:pStyle w:val="bmdsTblBody"/>
            </w:pPr>
            <w:r>
              <w:t>social behavior</w:t>
            </w:r>
          </w:p>
        </w:tc>
        <w:tc>
          <w:tcPr>
            <w:tcW w:w="8640" w:type="dxa"/>
            <w:vAlign w:val="center"/>
            <w:hideMark/>
          </w:tcPr>
          <w:p w14:paraId="130525B0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3/50</w:t>
            </w:r>
          </w:p>
        </w:tc>
        <w:tc>
          <w:tcPr>
            <w:tcW w:w="3806" w:type="dxa"/>
            <w:vAlign w:val="center"/>
            <w:hideMark/>
          </w:tcPr>
          <w:p w14:paraId="47838D41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6%</w:t>
            </w:r>
          </w:p>
        </w:tc>
        <w:tc>
          <w:tcPr>
            <w:tcW w:w="3806" w:type="dxa"/>
            <w:vAlign w:val="center"/>
            <w:hideMark/>
          </w:tcPr>
          <w:p w14:paraId="1CCED8EC" w14:textId="77777777" w:rsidR="00DE625B" w:rsidRDefault="00DE625B">
            <w:pPr>
              <w:pStyle w:val="bmdsTblBody"/>
              <w:jc w:val="center"/>
            </w:pPr>
            <w:proofErr w:type="spellStart"/>
            <w:r>
              <w:rPr>
                <w:sz w:val="16"/>
              </w:rPr>
              <w:t>Mss51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Avpr1a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Anxa7</w:t>
            </w:r>
            <w:proofErr w:type="spellEnd"/>
          </w:p>
        </w:tc>
        <w:tc>
          <w:tcPr>
            <w:tcW w:w="3806" w:type="dxa"/>
            <w:vAlign w:val="center"/>
            <w:hideMark/>
          </w:tcPr>
          <w:p w14:paraId="46649533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63.3</w:t>
            </w:r>
          </w:p>
        </w:tc>
        <w:tc>
          <w:tcPr>
            <w:tcW w:w="3806" w:type="dxa"/>
            <w:vAlign w:val="center"/>
            <w:hideMark/>
          </w:tcPr>
          <w:p w14:paraId="1BBC9999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45.9-305.5</w:t>
            </w:r>
          </w:p>
        </w:tc>
        <w:tc>
          <w:tcPr>
            <w:tcW w:w="3806" w:type="dxa"/>
            <w:vAlign w:val="center"/>
            <w:hideMark/>
          </w:tcPr>
          <w:p w14:paraId="2D5D54C8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3806" w:type="dxa"/>
            <w:vAlign w:val="center"/>
            <w:hideMark/>
          </w:tcPr>
          <w:p w14:paraId="708A3A18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2</w:t>
            </w:r>
          </w:p>
        </w:tc>
      </w:tr>
      <w:tr w:rsidR="00DE625B" w14:paraId="4C6CD954" w14:textId="77777777" w:rsidTr="00DE625B">
        <w:tc>
          <w:tcPr>
            <w:tcW w:w="8640" w:type="dxa"/>
            <w:vAlign w:val="center"/>
            <w:hideMark/>
          </w:tcPr>
          <w:p w14:paraId="15D0751B" w14:textId="77777777" w:rsidR="00DE625B" w:rsidRDefault="00DE625B">
            <w:pPr>
              <w:pStyle w:val="bmdsTblBody"/>
            </w:pPr>
            <w:r>
              <w:rPr>
                <w:b/>
              </w:rPr>
              <w:t>GO:0051705</w:t>
            </w:r>
          </w:p>
          <w:p w14:paraId="7929471A" w14:textId="77777777" w:rsidR="00DE625B" w:rsidRDefault="00DE625B">
            <w:pPr>
              <w:pStyle w:val="bmdsTblBody"/>
            </w:pPr>
            <w:r>
              <w:t>multi-organism behavior</w:t>
            </w:r>
          </w:p>
        </w:tc>
        <w:tc>
          <w:tcPr>
            <w:tcW w:w="8640" w:type="dxa"/>
            <w:vAlign w:val="center"/>
            <w:hideMark/>
          </w:tcPr>
          <w:p w14:paraId="3F99AD6D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5/72</w:t>
            </w:r>
          </w:p>
        </w:tc>
        <w:tc>
          <w:tcPr>
            <w:tcW w:w="3806" w:type="dxa"/>
            <w:vAlign w:val="center"/>
            <w:hideMark/>
          </w:tcPr>
          <w:p w14:paraId="059F078B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7%</w:t>
            </w:r>
          </w:p>
        </w:tc>
        <w:tc>
          <w:tcPr>
            <w:tcW w:w="3806" w:type="dxa"/>
            <w:vAlign w:val="center"/>
            <w:hideMark/>
          </w:tcPr>
          <w:p w14:paraId="40F103E9" w14:textId="77777777" w:rsidR="00DE625B" w:rsidRDefault="00DE625B">
            <w:pPr>
              <w:pStyle w:val="bmdsTblBody"/>
              <w:jc w:val="center"/>
            </w:pPr>
            <w:proofErr w:type="spellStart"/>
            <w:r>
              <w:rPr>
                <w:sz w:val="16"/>
              </w:rPr>
              <w:t>Mss51</w:t>
            </w:r>
            <w:proofErr w:type="spellEnd"/>
            <w:r>
              <w:rPr>
                <w:sz w:val="16"/>
              </w:rPr>
              <w:t xml:space="preserve">; LOC100910823; App; </w:t>
            </w:r>
            <w:proofErr w:type="spellStart"/>
            <w:r>
              <w:rPr>
                <w:sz w:val="16"/>
              </w:rPr>
              <w:t>Avpr1a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Anxa7</w:t>
            </w:r>
            <w:proofErr w:type="spellEnd"/>
          </w:p>
        </w:tc>
        <w:tc>
          <w:tcPr>
            <w:tcW w:w="3806" w:type="dxa"/>
            <w:vAlign w:val="center"/>
            <w:hideMark/>
          </w:tcPr>
          <w:p w14:paraId="792FE61F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63.3</w:t>
            </w:r>
          </w:p>
        </w:tc>
        <w:tc>
          <w:tcPr>
            <w:tcW w:w="3806" w:type="dxa"/>
            <w:vAlign w:val="center"/>
            <w:hideMark/>
          </w:tcPr>
          <w:p w14:paraId="3D9C235B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45.9-305.5</w:t>
            </w:r>
          </w:p>
        </w:tc>
        <w:tc>
          <w:tcPr>
            <w:tcW w:w="3806" w:type="dxa"/>
            <w:vAlign w:val="center"/>
            <w:hideMark/>
          </w:tcPr>
          <w:p w14:paraId="2A0529B6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3806" w:type="dxa"/>
            <w:vAlign w:val="center"/>
            <w:hideMark/>
          </w:tcPr>
          <w:p w14:paraId="231DE1D1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2</w:t>
            </w:r>
          </w:p>
        </w:tc>
      </w:tr>
      <w:tr w:rsidR="00DE625B" w14:paraId="206D43A7" w14:textId="77777777" w:rsidTr="00DE625B">
        <w:tc>
          <w:tcPr>
            <w:tcW w:w="8640" w:type="dxa"/>
            <w:vAlign w:val="center"/>
            <w:hideMark/>
          </w:tcPr>
          <w:p w14:paraId="06DA5385" w14:textId="77777777" w:rsidR="00DE625B" w:rsidRDefault="00DE625B">
            <w:pPr>
              <w:pStyle w:val="bmdsTblBody"/>
            </w:pPr>
            <w:r>
              <w:rPr>
                <w:b/>
              </w:rPr>
              <w:t>GO:0071548</w:t>
            </w:r>
          </w:p>
          <w:p w14:paraId="00C2CD4B" w14:textId="77777777" w:rsidR="00DE625B" w:rsidRDefault="00DE625B">
            <w:pPr>
              <w:pStyle w:val="bmdsTblBody"/>
            </w:pPr>
            <w:r>
              <w:t>response to dexamethasone</w:t>
            </w:r>
          </w:p>
        </w:tc>
        <w:tc>
          <w:tcPr>
            <w:tcW w:w="8640" w:type="dxa"/>
            <w:vAlign w:val="center"/>
            <w:hideMark/>
          </w:tcPr>
          <w:p w14:paraId="4C4A5DA8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5/97</w:t>
            </w:r>
          </w:p>
        </w:tc>
        <w:tc>
          <w:tcPr>
            <w:tcW w:w="3806" w:type="dxa"/>
            <w:vAlign w:val="center"/>
            <w:hideMark/>
          </w:tcPr>
          <w:p w14:paraId="5BF7E4B3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5%</w:t>
            </w:r>
          </w:p>
        </w:tc>
        <w:tc>
          <w:tcPr>
            <w:tcW w:w="3806" w:type="dxa"/>
            <w:vAlign w:val="center"/>
            <w:hideMark/>
          </w:tcPr>
          <w:p w14:paraId="500D9732" w14:textId="77777777" w:rsidR="00DE625B" w:rsidRDefault="00DE625B">
            <w:pPr>
              <w:pStyle w:val="bmdsTblBody"/>
              <w:jc w:val="center"/>
            </w:pPr>
            <w:proofErr w:type="spellStart"/>
            <w:r>
              <w:rPr>
                <w:sz w:val="16"/>
              </w:rPr>
              <w:t>Igfals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Cldn1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Errfi1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Hnrnpu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Ddit4</w:t>
            </w:r>
            <w:proofErr w:type="spellEnd"/>
          </w:p>
        </w:tc>
        <w:tc>
          <w:tcPr>
            <w:tcW w:w="3806" w:type="dxa"/>
            <w:vAlign w:val="center"/>
            <w:hideMark/>
          </w:tcPr>
          <w:p w14:paraId="346E2FC8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70.6</w:t>
            </w:r>
          </w:p>
        </w:tc>
        <w:tc>
          <w:tcPr>
            <w:tcW w:w="3806" w:type="dxa"/>
            <w:vAlign w:val="center"/>
            <w:hideMark/>
          </w:tcPr>
          <w:p w14:paraId="022BE49A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50.3-185.5</w:t>
            </w:r>
          </w:p>
        </w:tc>
        <w:tc>
          <w:tcPr>
            <w:tcW w:w="3806" w:type="dxa"/>
            <w:vAlign w:val="center"/>
            <w:hideMark/>
          </w:tcPr>
          <w:p w14:paraId="68ED8C5C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3806" w:type="dxa"/>
            <w:vAlign w:val="center"/>
            <w:hideMark/>
          </w:tcPr>
          <w:p w14:paraId="7C2E89E6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4</w:t>
            </w:r>
          </w:p>
        </w:tc>
      </w:tr>
      <w:tr w:rsidR="00DE625B" w14:paraId="559D2572" w14:textId="77777777" w:rsidTr="00DE625B">
        <w:tc>
          <w:tcPr>
            <w:tcW w:w="8640" w:type="dxa"/>
            <w:vAlign w:val="center"/>
            <w:hideMark/>
          </w:tcPr>
          <w:p w14:paraId="1AC92454" w14:textId="77777777" w:rsidR="00DE625B" w:rsidRDefault="00DE625B">
            <w:pPr>
              <w:pStyle w:val="bmdsTblBody"/>
            </w:pPr>
            <w:r>
              <w:rPr>
                <w:b/>
              </w:rPr>
              <w:t>GO:2000272</w:t>
            </w:r>
          </w:p>
          <w:p w14:paraId="31836902" w14:textId="77777777" w:rsidR="00DE625B" w:rsidRDefault="00DE625B">
            <w:pPr>
              <w:pStyle w:val="bmdsTblBody"/>
            </w:pPr>
            <w:r>
              <w:t>negative regulation of receptor activity</w:t>
            </w:r>
          </w:p>
        </w:tc>
        <w:tc>
          <w:tcPr>
            <w:tcW w:w="8640" w:type="dxa"/>
            <w:vAlign w:val="center"/>
            <w:hideMark/>
          </w:tcPr>
          <w:p w14:paraId="196037F0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3/25</w:t>
            </w:r>
          </w:p>
        </w:tc>
        <w:tc>
          <w:tcPr>
            <w:tcW w:w="3806" w:type="dxa"/>
            <w:vAlign w:val="center"/>
            <w:hideMark/>
          </w:tcPr>
          <w:p w14:paraId="1B4EAD3C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12%</w:t>
            </w:r>
          </w:p>
        </w:tc>
        <w:tc>
          <w:tcPr>
            <w:tcW w:w="3806" w:type="dxa"/>
            <w:vAlign w:val="center"/>
            <w:hideMark/>
          </w:tcPr>
          <w:p w14:paraId="34588F5E" w14:textId="77777777" w:rsidR="00DE625B" w:rsidRDefault="00DE625B">
            <w:pPr>
              <w:pStyle w:val="bmdsTblBody"/>
              <w:jc w:val="center"/>
            </w:pPr>
            <w:proofErr w:type="spellStart"/>
            <w:r>
              <w:rPr>
                <w:sz w:val="16"/>
              </w:rPr>
              <w:t>Pcsk9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Errfi1</w:t>
            </w:r>
            <w:proofErr w:type="spellEnd"/>
            <w:r>
              <w:rPr>
                <w:sz w:val="16"/>
              </w:rPr>
              <w:t>; App</w:t>
            </w:r>
          </w:p>
        </w:tc>
        <w:tc>
          <w:tcPr>
            <w:tcW w:w="3806" w:type="dxa"/>
            <w:vAlign w:val="center"/>
            <w:hideMark/>
          </w:tcPr>
          <w:p w14:paraId="4480E84F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70.6</w:t>
            </w:r>
          </w:p>
        </w:tc>
        <w:tc>
          <w:tcPr>
            <w:tcW w:w="3806" w:type="dxa"/>
            <w:vAlign w:val="center"/>
            <w:hideMark/>
          </w:tcPr>
          <w:p w14:paraId="205CEC67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50.3-116.6</w:t>
            </w:r>
          </w:p>
        </w:tc>
        <w:tc>
          <w:tcPr>
            <w:tcW w:w="3806" w:type="dxa"/>
            <w:vAlign w:val="center"/>
            <w:hideMark/>
          </w:tcPr>
          <w:p w14:paraId="27E5ECC2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3806" w:type="dxa"/>
            <w:vAlign w:val="center"/>
            <w:hideMark/>
          </w:tcPr>
          <w:p w14:paraId="3AB890F0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2</w:t>
            </w:r>
          </w:p>
        </w:tc>
      </w:tr>
      <w:tr w:rsidR="00DE625B" w14:paraId="466CFF12" w14:textId="77777777" w:rsidTr="00DE625B">
        <w:tc>
          <w:tcPr>
            <w:tcW w:w="8640" w:type="dxa"/>
            <w:vAlign w:val="center"/>
            <w:hideMark/>
          </w:tcPr>
          <w:p w14:paraId="08B27397" w14:textId="77777777" w:rsidR="00DE625B" w:rsidRDefault="00DE625B">
            <w:pPr>
              <w:pStyle w:val="bmdsTblBody"/>
            </w:pPr>
            <w:r>
              <w:rPr>
                <w:b/>
              </w:rPr>
              <w:t>GO:0042058</w:t>
            </w:r>
          </w:p>
          <w:p w14:paraId="41090DEB" w14:textId="77777777" w:rsidR="00DE625B" w:rsidRDefault="00DE625B">
            <w:pPr>
              <w:pStyle w:val="bmdsTblBody"/>
            </w:pPr>
            <w:r>
              <w:t>regulation of epidermal growth factor receptor signaling pathway</w:t>
            </w:r>
          </w:p>
        </w:tc>
        <w:tc>
          <w:tcPr>
            <w:tcW w:w="8640" w:type="dxa"/>
            <w:vAlign w:val="center"/>
            <w:hideMark/>
          </w:tcPr>
          <w:p w14:paraId="1367D4B4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5/61</w:t>
            </w:r>
          </w:p>
        </w:tc>
        <w:tc>
          <w:tcPr>
            <w:tcW w:w="3806" w:type="dxa"/>
            <w:vAlign w:val="center"/>
            <w:hideMark/>
          </w:tcPr>
          <w:p w14:paraId="1157B930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8%</w:t>
            </w:r>
          </w:p>
        </w:tc>
        <w:tc>
          <w:tcPr>
            <w:tcW w:w="3806" w:type="dxa"/>
            <w:vAlign w:val="center"/>
            <w:hideMark/>
          </w:tcPr>
          <w:p w14:paraId="6D6817F6" w14:textId="77777777" w:rsidR="00DE625B" w:rsidRDefault="00DE625B">
            <w:pPr>
              <w:pStyle w:val="bmdsTblBody"/>
              <w:jc w:val="center"/>
            </w:pPr>
            <w:proofErr w:type="spellStart"/>
            <w:r>
              <w:rPr>
                <w:sz w:val="16"/>
              </w:rPr>
              <w:t>Rhbdf2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Errfi1</w:t>
            </w:r>
            <w:proofErr w:type="spellEnd"/>
            <w:r>
              <w:rPr>
                <w:sz w:val="16"/>
              </w:rPr>
              <w:t xml:space="preserve">; App; </w:t>
            </w:r>
            <w:proofErr w:type="spellStart"/>
            <w:r>
              <w:rPr>
                <w:sz w:val="16"/>
              </w:rPr>
              <w:t>Dab2ip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Ceacam1</w:t>
            </w:r>
            <w:proofErr w:type="spellEnd"/>
          </w:p>
        </w:tc>
        <w:tc>
          <w:tcPr>
            <w:tcW w:w="3806" w:type="dxa"/>
            <w:vAlign w:val="center"/>
            <w:hideMark/>
          </w:tcPr>
          <w:p w14:paraId="4D6C3B0B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71.6</w:t>
            </w:r>
          </w:p>
        </w:tc>
        <w:tc>
          <w:tcPr>
            <w:tcW w:w="3806" w:type="dxa"/>
            <w:vAlign w:val="center"/>
            <w:hideMark/>
          </w:tcPr>
          <w:p w14:paraId="4C21E671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51.1-116.6</w:t>
            </w:r>
          </w:p>
        </w:tc>
        <w:tc>
          <w:tcPr>
            <w:tcW w:w="3806" w:type="dxa"/>
            <w:vAlign w:val="center"/>
            <w:hideMark/>
          </w:tcPr>
          <w:p w14:paraId="4B9267E6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2</w:t>
            </w:r>
          </w:p>
        </w:tc>
        <w:tc>
          <w:tcPr>
            <w:tcW w:w="3806" w:type="dxa"/>
            <w:vAlign w:val="center"/>
            <w:hideMark/>
          </w:tcPr>
          <w:p w14:paraId="4AA8BD25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3</w:t>
            </w:r>
          </w:p>
        </w:tc>
      </w:tr>
      <w:tr w:rsidR="00DE625B" w14:paraId="2798A15D" w14:textId="77777777" w:rsidTr="00DE625B">
        <w:tc>
          <w:tcPr>
            <w:tcW w:w="8640" w:type="dxa"/>
            <w:vAlign w:val="center"/>
            <w:hideMark/>
          </w:tcPr>
          <w:p w14:paraId="5E822C14" w14:textId="77777777" w:rsidR="00DE625B" w:rsidRDefault="00DE625B">
            <w:pPr>
              <w:pStyle w:val="bmdsTblBody"/>
            </w:pPr>
            <w:r>
              <w:rPr>
                <w:b/>
              </w:rPr>
              <w:t>GO:0032651</w:t>
            </w:r>
          </w:p>
          <w:p w14:paraId="42E1F39A" w14:textId="77777777" w:rsidR="00DE625B" w:rsidRDefault="00DE625B">
            <w:pPr>
              <w:pStyle w:val="bmdsTblBody"/>
            </w:pPr>
            <w:r>
              <w:t>regulation of interleukin-1 beta production</w:t>
            </w:r>
          </w:p>
        </w:tc>
        <w:tc>
          <w:tcPr>
            <w:tcW w:w="8640" w:type="dxa"/>
            <w:vAlign w:val="center"/>
            <w:hideMark/>
          </w:tcPr>
          <w:p w14:paraId="714B29D8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4/46</w:t>
            </w:r>
          </w:p>
        </w:tc>
        <w:tc>
          <w:tcPr>
            <w:tcW w:w="3806" w:type="dxa"/>
            <w:vAlign w:val="center"/>
            <w:hideMark/>
          </w:tcPr>
          <w:p w14:paraId="6B912792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9%</w:t>
            </w:r>
          </w:p>
        </w:tc>
        <w:tc>
          <w:tcPr>
            <w:tcW w:w="3806" w:type="dxa"/>
            <w:vAlign w:val="center"/>
            <w:hideMark/>
          </w:tcPr>
          <w:p w14:paraId="3AA7FFA7" w14:textId="77777777" w:rsidR="00DE625B" w:rsidRDefault="00DE625B">
            <w:pPr>
              <w:pStyle w:val="bmdsTblBody"/>
              <w:jc w:val="center"/>
            </w:pPr>
            <w:proofErr w:type="spellStart"/>
            <w:r>
              <w:rPr>
                <w:sz w:val="16"/>
              </w:rPr>
              <w:t>Casp4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Tnfaip3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Errfi1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Orm1</w:t>
            </w:r>
            <w:proofErr w:type="spellEnd"/>
          </w:p>
        </w:tc>
        <w:tc>
          <w:tcPr>
            <w:tcW w:w="3806" w:type="dxa"/>
            <w:vAlign w:val="center"/>
            <w:hideMark/>
          </w:tcPr>
          <w:p w14:paraId="5A078DFF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82.2</w:t>
            </w:r>
          </w:p>
        </w:tc>
        <w:tc>
          <w:tcPr>
            <w:tcW w:w="3806" w:type="dxa"/>
            <w:vAlign w:val="center"/>
            <w:hideMark/>
          </w:tcPr>
          <w:p w14:paraId="6EDF51CA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57.2-145.1</w:t>
            </w:r>
          </w:p>
        </w:tc>
        <w:tc>
          <w:tcPr>
            <w:tcW w:w="3806" w:type="dxa"/>
            <w:vAlign w:val="center"/>
            <w:hideMark/>
          </w:tcPr>
          <w:p w14:paraId="0851B0A4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3</w:t>
            </w:r>
          </w:p>
        </w:tc>
        <w:tc>
          <w:tcPr>
            <w:tcW w:w="3806" w:type="dxa"/>
            <w:vAlign w:val="center"/>
            <w:hideMark/>
          </w:tcPr>
          <w:p w14:paraId="40F2399A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1</w:t>
            </w:r>
          </w:p>
        </w:tc>
      </w:tr>
      <w:tr w:rsidR="00DE625B" w14:paraId="743866BB" w14:textId="77777777" w:rsidTr="00DE625B">
        <w:tc>
          <w:tcPr>
            <w:tcW w:w="8640" w:type="dxa"/>
            <w:vAlign w:val="center"/>
            <w:hideMark/>
          </w:tcPr>
          <w:p w14:paraId="25732D27" w14:textId="77777777" w:rsidR="00DE625B" w:rsidRDefault="00DE625B">
            <w:pPr>
              <w:pStyle w:val="bmdsTblBody"/>
            </w:pPr>
            <w:r>
              <w:rPr>
                <w:b/>
              </w:rPr>
              <w:t>GO:0042632</w:t>
            </w:r>
          </w:p>
          <w:p w14:paraId="4E97E5C4" w14:textId="77777777" w:rsidR="00DE625B" w:rsidRDefault="00DE625B">
            <w:pPr>
              <w:pStyle w:val="bmdsTblBody"/>
            </w:pPr>
            <w:r>
              <w:t>cholesterol homeostasis</w:t>
            </w:r>
          </w:p>
        </w:tc>
        <w:tc>
          <w:tcPr>
            <w:tcW w:w="8640" w:type="dxa"/>
            <w:vAlign w:val="center"/>
            <w:hideMark/>
          </w:tcPr>
          <w:p w14:paraId="34567DAD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4/57</w:t>
            </w:r>
          </w:p>
        </w:tc>
        <w:tc>
          <w:tcPr>
            <w:tcW w:w="3806" w:type="dxa"/>
            <w:vAlign w:val="center"/>
            <w:hideMark/>
          </w:tcPr>
          <w:p w14:paraId="752017C8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7%</w:t>
            </w:r>
          </w:p>
        </w:tc>
        <w:tc>
          <w:tcPr>
            <w:tcW w:w="3806" w:type="dxa"/>
            <w:vAlign w:val="center"/>
            <w:hideMark/>
          </w:tcPr>
          <w:p w14:paraId="6B3D4DDD" w14:textId="77777777" w:rsidR="00DE625B" w:rsidRDefault="00DE625B">
            <w:pPr>
              <w:pStyle w:val="bmdsTblBody"/>
              <w:jc w:val="center"/>
            </w:pPr>
            <w:proofErr w:type="spellStart"/>
            <w:r>
              <w:rPr>
                <w:sz w:val="16"/>
              </w:rPr>
              <w:t>Pcsk9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Abcg5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Abcg8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Cyp7a1</w:t>
            </w:r>
            <w:proofErr w:type="spellEnd"/>
          </w:p>
        </w:tc>
        <w:tc>
          <w:tcPr>
            <w:tcW w:w="3806" w:type="dxa"/>
            <w:vAlign w:val="center"/>
            <w:hideMark/>
          </w:tcPr>
          <w:p w14:paraId="29E0FB04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85.3</w:t>
            </w:r>
          </w:p>
        </w:tc>
        <w:tc>
          <w:tcPr>
            <w:tcW w:w="3806" w:type="dxa"/>
            <w:vAlign w:val="center"/>
            <w:hideMark/>
          </w:tcPr>
          <w:p w14:paraId="370A994D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59.2-147.8</w:t>
            </w:r>
          </w:p>
        </w:tc>
        <w:tc>
          <w:tcPr>
            <w:tcW w:w="3806" w:type="dxa"/>
            <w:vAlign w:val="center"/>
            <w:hideMark/>
          </w:tcPr>
          <w:p w14:paraId="2CA7F870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1</w:t>
            </w:r>
          </w:p>
        </w:tc>
        <w:tc>
          <w:tcPr>
            <w:tcW w:w="3806" w:type="dxa"/>
            <w:vAlign w:val="center"/>
            <w:hideMark/>
          </w:tcPr>
          <w:p w14:paraId="42F2B5E2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3</w:t>
            </w:r>
          </w:p>
        </w:tc>
      </w:tr>
      <w:tr w:rsidR="00DE625B" w14:paraId="77DDE5C5" w14:textId="77777777" w:rsidTr="00DE625B"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32CA06A6" w14:textId="77777777" w:rsidR="00DE625B" w:rsidRDefault="00DE625B">
            <w:pPr>
              <w:pStyle w:val="bmdsTblBody"/>
            </w:pPr>
            <w:r>
              <w:rPr>
                <w:b/>
              </w:rPr>
              <w:t>GO:0032375</w:t>
            </w:r>
          </w:p>
          <w:p w14:paraId="0B6DEBBE" w14:textId="77777777" w:rsidR="00DE625B" w:rsidRDefault="00DE625B">
            <w:pPr>
              <w:pStyle w:val="bmdsTblBody"/>
            </w:pPr>
            <w:r>
              <w:t>negative regulation of cholesterol transport</w:t>
            </w:r>
          </w:p>
        </w:tc>
        <w:tc>
          <w:tcPr>
            <w:tcW w:w="8640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2F99EE9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3/12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0D51FDAE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25%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1D7DB60F" w14:textId="77777777" w:rsidR="00DE625B" w:rsidRDefault="00DE625B">
            <w:pPr>
              <w:pStyle w:val="bmdsTblBody"/>
              <w:jc w:val="center"/>
            </w:pPr>
            <w:proofErr w:type="spellStart"/>
            <w:r>
              <w:rPr>
                <w:sz w:val="16"/>
              </w:rPr>
              <w:t>Pcsk9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Abcg5</w:t>
            </w:r>
            <w:proofErr w:type="spellEnd"/>
            <w:r>
              <w:rPr>
                <w:sz w:val="16"/>
              </w:rPr>
              <w:t xml:space="preserve">; </w:t>
            </w:r>
            <w:proofErr w:type="spellStart"/>
            <w:r>
              <w:rPr>
                <w:sz w:val="16"/>
              </w:rPr>
              <w:t>Abcg8</w:t>
            </w:r>
            <w:proofErr w:type="spellEnd"/>
          </w:p>
        </w:tc>
        <w:tc>
          <w:tcPr>
            <w:tcW w:w="380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7ABE199D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92.5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69E996C4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63.3-165.3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149CB6C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0</w:t>
            </w:r>
          </w:p>
        </w:tc>
        <w:tc>
          <w:tcPr>
            <w:tcW w:w="3806" w:type="dxa"/>
            <w:tcBorders>
              <w:top w:val="nil"/>
              <w:left w:val="nil"/>
              <w:bottom w:val="single" w:sz="2" w:space="0" w:color="000000"/>
              <w:right w:val="nil"/>
            </w:tcBorders>
            <w:vAlign w:val="center"/>
            <w:hideMark/>
          </w:tcPr>
          <w:p w14:paraId="470DCF7E" w14:textId="77777777" w:rsidR="00DE625B" w:rsidRDefault="00DE625B">
            <w:pPr>
              <w:pStyle w:val="bmdsTblBody"/>
              <w:jc w:val="center"/>
            </w:pPr>
            <w:r>
              <w:rPr>
                <w:sz w:val="16"/>
              </w:rPr>
              <w:t>3</w:t>
            </w:r>
          </w:p>
        </w:tc>
      </w:tr>
    </w:tbl>
    <w:p w14:paraId="16C49DF8" w14:textId="77777777" w:rsidR="00DE625B" w:rsidRDefault="00DE625B" w:rsidP="00DE625B">
      <w:pPr>
        <w:pStyle w:val="bmdsTblFootnote"/>
      </w:pPr>
      <w:r>
        <w:t>Official gene symbols from the Rat Genome Database are shown in the “Active Genes” column. Definitions of Gene Ontology terms were provided by the Gene Ontology Resource (http://geneontology.org/).</w:t>
      </w:r>
    </w:p>
    <w:p w14:paraId="0FED000C" w14:textId="7AE7E6DF" w:rsidR="00DE625B" w:rsidRDefault="00DE625B" w:rsidP="00DE625B">
      <w:pPr>
        <w:pStyle w:val="bmdsTblFootnote"/>
      </w:pPr>
      <w:r>
        <w:rPr>
          <w:b/>
        </w:rPr>
        <w:t xml:space="preserve">GO process description version: </w:t>
      </w:r>
      <w:r w:rsidR="005A240E" w:rsidRPr="000E6A0C">
        <w:rPr>
          <w:rFonts w:eastAsia="Calibri" w:cs="Times New Roman"/>
          <w:bCs/>
          <w:szCs w:val="18"/>
        </w:rPr>
        <w:t xml:space="preserve">https://cebs.niehs.nih.gov/cebs/study/002-00600-0002-000-0 </w:t>
      </w:r>
      <w:proofErr w:type="spellStart"/>
      <w:r w:rsidR="00071C1A">
        <w:t>V04132020</w:t>
      </w:r>
      <w:proofErr w:type="spellEnd"/>
    </w:p>
    <w:p w14:paraId="122794BE" w14:textId="77777777" w:rsidR="00DE625B" w:rsidRDefault="00DE625B" w:rsidP="00DE625B">
      <w:pPr>
        <w:pStyle w:val="bmdsTblFootnote"/>
      </w:pPr>
      <w:r>
        <w:rPr>
          <w:b/>
        </w:rPr>
        <w:t>GO:0071549 cellular response to dexamethasone stimulus:</w:t>
      </w:r>
      <w:r>
        <w:t xml:space="preserve"> Any process that results in a change in state or activity of a cell (in terms of movement, secretion, enzyme production, gene expression, etc.) </w:t>
      </w:r>
      <w:proofErr w:type="gramStart"/>
      <w:r>
        <w:t>as a result of</w:t>
      </w:r>
      <w:proofErr w:type="gramEnd"/>
      <w:r>
        <w:t xml:space="preserve"> a dexamethasone stimulus.</w:t>
      </w:r>
    </w:p>
    <w:p w14:paraId="13820256" w14:textId="77777777" w:rsidR="00DE625B" w:rsidRDefault="00DE625B" w:rsidP="00DE625B">
      <w:pPr>
        <w:pStyle w:val="bmdsTblFootnote"/>
      </w:pPr>
      <w:r>
        <w:rPr>
          <w:b/>
        </w:rPr>
        <w:t>GO:0071385 cellular response to glucocorticoid stimulus:</w:t>
      </w:r>
      <w:r>
        <w:t xml:space="preserve"> Any process that results in a change in state or activity of a cell (in terms of movement, secretion, enzyme production, gene expression, etc.) </w:t>
      </w:r>
      <w:proofErr w:type="gramStart"/>
      <w:r>
        <w:t>as a result of</w:t>
      </w:r>
      <w:proofErr w:type="gramEnd"/>
      <w:r>
        <w:t xml:space="preserve"> a glucocorticoid stimulus. Glucocorticoids are hormonal </w:t>
      </w:r>
      <w:proofErr w:type="spellStart"/>
      <w:r>
        <w:t>C21</w:t>
      </w:r>
      <w:proofErr w:type="spellEnd"/>
      <w:r>
        <w:t xml:space="preserve"> corticosteroids synthesized from cholesterol with the ability to bind with the cortisol receptor and trigger similar effects. Glucocorticoids act primarily on carbohydrate and protein </w:t>
      </w:r>
      <w:proofErr w:type="gramStart"/>
      <w:r>
        <w:t>metabolism, and</w:t>
      </w:r>
      <w:proofErr w:type="gramEnd"/>
      <w:r>
        <w:t xml:space="preserve"> have anti-inflammatory effects.</w:t>
      </w:r>
    </w:p>
    <w:p w14:paraId="7DA05164" w14:textId="77777777" w:rsidR="00DE625B" w:rsidRDefault="00DE625B" w:rsidP="00DE625B">
      <w:pPr>
        <w:pStyle w:val="bmdsTblFootnote"/>
      </w:pPr>
      <w:r>
        <w:rPr>
          <w:b/>
        </w:rPr>
        <w:t>GO:0035176 social behavior:</w:t>
      </w:r>
      <w:r>
        <w:t xml:space="preserve"> Behavior directed towards </w:t>
      </w:r>
      <w:proofErr w:type="gramStart"/>
      <w:r>
        <w:t>society, or</w:t>
      </w:r>
      <w:proofErr w:type="gramEnd"/>
      <w:r>
        <w:t xml:space="preserve"> taking place between members of the same species. Occurs predominantly, or only, in individuals that are part of a group.</w:t>
      </w:r>
    </w:p>
    <w:p w14:paraId="0A5F535B" w14:textId="77777777" w:rsidR="00DE625B" w:rsidRDefault="00DE625B" w:rsidP="00DE625B">
      <w:pPr>
        <w:pStyle w:val="bmdsTblFootnote"/>
      </w:pPr>
      <w:bookmarkStart w:id="0" w:name="_Hlk77322086"/>
      <w:r>
        <w:rPr>
          <w:b/>
        </w:rPr>
        <w:lastRenderedPageBreak/>
        <w:t>GO:0051705 multi-organism behavior:</w:t>
      </w:r>
      <w:r>
        <w:t xml:space="preserve"> Any process in which an organism has a behavioral effect on another organism of the same or different species.</w:t>
      </w:r>
    </w:p>
    <w:bookmarkEnd w:id="0"/>
    <w:p w14:paraId="060D7E70" w14:textId="77777777" w:rsidR="00DE625B" w:rsidRDefault="00DE625B" w:rsidP="00DE625B">
      <w:pPr>
        <w:pStyle w:val="bmdsTblFootnote"/>
      </w:pPr>
      <w:r>
        <w:rPr>
          <w:b/>
        </w:rPr>
        <w:t>GO:0071548 response to dexamethasone:</w:t>
      </w:r>
      <w:r>
        <w:t xml:space="preserve"> Any process that results in a change in state or activity of a cell or an organism (in terms of movement, secretion, enzyme production, gene expression, etc.) </w:t>
      </w:r>
      <w:proofErr w:type="gramStart"/>
      <w:r>
        <w:t>as a result of</w:t>
      </w:r>
      <w:proofErr w:type="gramEnd"/>
      <w:r>
        <w:t xml:space="preserve"> a dexamethasone stimulus.</w:t>
      </w:r>
    </w:p>
    <w:p w14:paraId="4EB840E4" w14:textId="77777777" w:rsidR="00DE625B" w:rsidRDefault="00DE625B" w:rsidP="00DE625B">
      <w:pPr>
        <w:pStyle w:val="bmdsTblFootnote"/>
      </w:pPr>
      <w:r>
        <w:rPr>
          <w:b/>
        </w:rPr>
        <w:t>GO:2000272 negative regulation of signaling receptor activity:</w:t>
      </w:r>
      <w:r>
        <w:t xml:space="preserve"> Any process that stops, </w:t>
      </w:r>
      <w:proofErr w:type="gramStart"/>
      <w:r>
        <w:t>prevents</w:t>
      </w:r>
      <w:proofErr w:type="gramEnd"/>
      <w:r>
        <w:t xml:space="preserve"> or reduces the frequency, rate or extent of a signaling receptor activity.</w:t>
      </w:r>
    </w:p>
    <w:p w14:paraId="0D9E3922" w14:textId="77777777" w:rsidR="00DE625B" w:rsidRDefault="00DE625B" w:rsidP="00DE625B">
      <w:pPr>
        <w:pStyle w:val="bmdsTblFootnote"/>
      </w:pPr>
      <w:r>
        <w:rPr>
          <w:b/>
        </w:rPr>
        <w:t>GO:0042058 regulation of epidermal growth factor receptor signaling pathway:</w:t>
      </w:r>
      <w:r>
        <w:t xml:space="preserve"> Any process that modulates the frequency, rate or extent of epidermal growth factor receptor signaling pathway activity.</w:t>
      </w:r>
    </w:p>
    <w:p w14:paraId="0A0279B6" w14:textId="77777777" w:rsidR="00DE625B" w:rsidRDefault="00DE625B" w:rsidP="00DE625B">
      <w:pPr>
        <w:pStyle w:val="bmdsTblFootnote"/>
      </w:pPr>
      <w:r>
        <w:rPr>
          <w:b/>
        </w:rPr>
        <w:t>GO:0032651 regulation of interleukin-1 beta production:</w:t>
      </w:r>
      <w:r>
        <w:t xml:space="preserve"> Any process that modulates the frequency, rate, or extent of interleukin-1 beta production.</w:t>
      </w:r>
    </w:p>
    <w:p w14:paraId="1C0402FA" w14:textId="77777777" w:rsidR="00DE625B" w:rsidRDefault="00DE625B" w:rsidP="00DE625B">
      <w:pPr>
        <w:pStyle w:val="bmdsTblFootnote"/>
      </w:pPr>
      <w:r>
        <w:rPr>
          <w:b/>
        </w:rPr>
        <w:t>GO:0042632 cholesterol homeostasis:</w:t>
      </w:r>
      <w:r>
        <w:t xml:space="preserve"> Any process involved in the maintenance of an internal steady state of cholesterol within an organism or cell.</w:t>
      </w:r>
    </w:p>
    <w:p w14:paraId="60F2EBB6" w14:textId="77777777" w:rsidR="00DE625B" w:rsidRDefault="00DE625B" w:rsidP="00DE625B">
      <w:pPr>
        <w:pStyle w:val="bmdsTblFootnote"/>
      </w:pPr>
      <w:r>
        <w:rPr>
          <w:b/>
        </w:rPr>
        <w:t>GO:0032375 negative regulation of cholesterol transport:</w:t>
      </w:r>
      <w:r>
        <w:t xml:space="preserve"> Any process that stops, prevents, or reduces the frequency, rate or extent of the directed movement of cholesterol into, out of or within a cell, or between cells, by means of some agent such as a transporter or pore.</w:t>
      </w:r>
    </w:p>
    <w:p w14:paraId="2D022FF1" w14:textId="77777777" w:rsidR="00C505B6" w:rsidRDefault="00071C1A"/>
    <w:sectPr w:rsidR="00C505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33"/>
    <w:rsid w:val="00071C1A"/>
    <w:rsid w:val="0021102E"/>
    <w:rsid w:val="005A240E"/>
    <w:rsid w:val="00DE625B"/>
    <w:rsid w:val="00F50F55"/>
    <w:rsid w:val="00F5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FDB33F-620E-44C7-862B-0676CECDE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25B"/>
    <w:pPr>
      <w:spacing w:after="0" w:line="240" w:lineRule="auto"/>
    </w:pPr>
    <w:rPr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625B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DE625B"/>
    <w:rPr>
      <w:rFonts w:eastAsiaTheme="majorEastAsia" w:cstheme="majorBidi"/>
      <w:b/>
      <w:color w:val="000000" w:themeColor="text1"/>
      <w:sz w:val="24"/>
      <w:szCs w:val="24"/>
    </w:rPr>
  </w:style>
  <w:style w:type="paragraph" w:customStyle="1" w:styleId="bmdsTblBody">
    <w:name w:val="bmdsTblBody"/>
    <w:basedOn w:val="Normal"/>
    <w:qFormat/>
    <w:rsid w:val="00DE625B"/>
    <w:rPr>
      <w:rFonts w:ascii="Times New Roman" w:hAnsi="Times New Roman"/>
      <w:sz w:val="18"/>
    </w:rPr>
  </w:style>
  <w:style w:type="paragraph" w:customStyle="1" w:styleId="bmdsTblFootnote">
    <w:name w:val="bmdsTblFootnote"/>
    <w:basedOn w:val="bmdsTblBody"/>
    <w:qFormat/>
    <w:rsid w:val="00DE625B"/>
  </w:style>
  <w:style w:type="paragraph" w:customStyle="1" w:styleId="bmdsTblHeader">
    <w:name w:val="bmdsTblHeader"/>
    <w:basedOn w:val="bmdsTblBody"/>
    <w:qFormat/>
    <w:rsid w:val="00DE625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1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He, Shihan (NIH/NIEHS) [C]</dc:creator>
  <cp:keywords/>
  <dc:description/>
  <cp:lastModifiedBy>He, Shihan (NIH/NIEHS) [C]</cp:lastModifiedBy>
  <cp:revision>4</cp:revision>
  <dcterms:created xsi:type="dcterms:W3CDTF">2021-05-21T17:07:00Z</dcterms:created>
  <dcterms:modified xsi:type="dcterms:W3CDTF">2021-07-16T14:01:00Z</dcterms:modified>
</cp:coreProperties>
</file>