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BA98" w14:textId="77777777" w:rsidR="00A22C01" w:rsidRDefault="00A22C01" w:rsidP="00A22C01">
      <w:pPr>
        <w:pStyle w:val="Heading3"/>
      </w:pPr>
      <w:r>
        <w:t>Benchmark Dose Model Recommendation/Selection Rules for Apical Endpoints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7"/>
        <w:gridCol w:w="2946"/>
        <w:gridCol w:w="1862"/>
        <w:gridCol w:w="1855"/>
      </w:tblGrid>
      <w:tr w:rsidR="00A22C01" w14:paraId="3C4D13A7" w14:textId="77777777" w:rsidTr="00776E73">
        <w:tc>
          <w:tcPr>
            <w:tcW w:w="2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E53CF2" w14:textId="77777777" w:rsidR="00A22C01" w:rsidRDefault="00A22C01">
            <w:pPr>
              <w:pStyle w:val="bmdsTblHeader"/>
              <w:jc w:val="center"/>
            </w:pPr>
            <w:r>
              <w:t>Rule</w:t>
            </w:r>
          </w:p>
        </w:tc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60070D" w14:textId="77777777" w:rsidR="00A22C01" w:rsidRDefault="00A22C01">
            <w:pPr>
              <w:pStyle w:val="bmdsTblHeader"/>
              <w:jc w:val="center"/>
            </w:pPr>
            <w:r>
              <w:t>Criteria for "Viable"</w:t>
            </w:r>
          </w:p>
        </w:tc>
        <w:tc>
          <w:tcPr>
            <w:tcW w:w="1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FB5039" w14:textId="77777777" w:rsidR="00A22C01" w:rsidRDefault="00A22C01">
            <w:pPr>
              <w:pStyle w:val="bmdsTblHeader"/>
              <w:jc w:val="center"/>
            </w:pPr>
            <w:r>
              <w:t>Numerical Threshold (N)</w:t>
            </w:r>
          </w:p>
        </w:tc>
        <w:tc>
          <w:tcPr>
            <w:tcW w:w="18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414DA9" w14:textId="77777777" w:rsidR="00A22C01" w:rsidRDefault="00A22C01">
            <w:pPr>
              <w:pStyle w:val="bmdsTblHeader"/>
              <w:jc w:val="center"/>
            </w:pPr>
            <w:r>
              <w:t>Bin Placement for Rule Failure</w:t>
            </w:r>
          </w:p>
        </w:tc>
      </w:tr>
      <w:tr w:rsidR="00A22C01" w14:paraId="5CDA1AB9" w14:textId="77777777" w:rsidTr="00776E73">
        <w:tc>
          <w:tcPr>
            <w:tcW w:w="2697" w:type="dxa"/>
            <w:vAlign w:val="center"/>
            <w:hideMark/>
          </w:tcPr>
          <w:p w14:paraId="73F7BD8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BMD existence</w:t>
            </w:r>
          </w:p>
        </w:tc>
        <w:tc>
          <w:tcPr>
            <w:tcW w:w="2946" w:type="dxa"/>
            <w:vAlign w:val="center"/>
            <w:hideMark/>
          </w:tcPr>
          <w:p w14:paraId="022F491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A BMD exists.</w:t>
            </w:r>
          </w:p>
        </w:tc>
        <w:tc>
          <w:tcPr>
            <w:tcW w:w="1862" w:type="dxa"/>
            <w:vAlign w:val="center"/>
            <w:hideMark/>
          </w:tcPr>
          <w:p w14:paraId="6B14288F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7F64E60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A22C01" w14:paraId="5E2DB766" w14:textId="77777777" w:rsidTr="00776E73">
        <w:tc>
          <w:tcPr>
            <w:tcW w:w="2697" w:type="dxa"/>
            <w:vAlign w:val="center"/>
            <w:hideMark/>
          </w:tcPr>
          <w:p w14:paraId="3640063F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BMDL existence</w:t>
            </w:r>
          </w:p>
        </w:tc>
        <w:tc>
          <w:tcPr>
            <w:tcW w:w="2946" w:type="dxa"/>
            <w:vAlign w:val="center"/>
            <w:hideMark/>
          </w:tcPr>
          <w:p w14:paraId="513C6CF6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A BMDL exists.</w:t>
            </w:r>
          </w:p>
        </w:tc>
        <w:tc>
          <w:tcPr>
            <w:tcW w:w="1862" w:type="dxa"/>
            <w:vAlign w:val="center"/>
            <w:hideMark/>
          </w:tcPr>
          <w:p w14:paraId="162CFD8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5707B814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A22C01" w14:paraId="18A0B325" w14:textId="77777777" w:rsidTr="00776E73">
        <w:tc>
          <w:tcPr>
            <w:tcW w:w="2697" w:type="dxa"/>
            <w:vAlign w:val="center"/>
            <w:hideMark/>
          </w:tcPr>
          <w:p w14:paraId="1AE19F9F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AIC existence</w:t>
            </w:r>
          </w:p>
        </w:tc>
        <w:tc>
          <w:tcPr>
            <w:tcW w:w="2946" w:type="dxa"/>
            <w:vAlign w:val="center"/>
            <w:hideMark/>
          </w:tcPr>
          <w:p w14:paraId="5CB548E3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An AIC exists.</w:t>
            </w:r>
          </w:p>
        </w:tc>
        <w:tc>
          <w:tcPr>
            <w:tcW w:w="1862" w:type="dxa"/>
            <w:vAlign w:val="center"/>
            <w:hideMark/>
          </w:tcPr>
          <w:p w14:paraId="31BA1A2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4B8A6DBC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A22C01" w14:paraId="2E5EC46E" w14:textId="77777777" w:rsidTr="00776E73">
        <w:tc>
          <w:tcPr>
            <w:tcW w:w="2697" w:type="dxa"/>
            <w:vAlign w:val="center"/>
            <w:hideMark/>
          </w:tcPr>
          <w:p w14:paraId="680550D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Residual of interest existence</w:t>
            </w:r>
          </w:p>
        </w:tc>
        <w:tc>
          <w:tcPr>
            <w:tcW w:w="2946" w:type="dxa"/>
            <w:vAlign w:val="center"/>
            <w:hideMark/>
          </w:tcPr>
          <w:p w14:paraId="2EFBC72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residual at the dose group closest to the BMD (i.e., the residual of interest) exists.</w:t>
            </w:r>
          </w:p>
        </w:tc>
        <w:tc>
          <w:tcPr>
            <w:tcW w:w="1862" w:type="dxa"/>
            <w:vAlign w:val="center"/>
            <w:hideMark/>
          </w:tcPr>
          <w:p w14:paraId="0C14556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031DEECC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Failure</w:t>
            </w:r>
          </w:p>
        </w:tc>
      </w:tr>
      <w:tr w:rsidR="00A22C01" w14:paraId="466CCC15" w14:textId="77777777" w:rsidTr="00776E73">
        <w:tc>
          <w:tcPr>
            <w:tcW w:w="2697" w:type="dxa"/>
            <w:vAlign w:val="center"/>
            <w:hideMark/>
          </w:tcPr>
          <w:p w14:paraId="04A26BE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Variance model fit</w:t>
            </w:r>
          </w:p>
        </w:tc>
        <w:tc>
          <w:tcPr>
            <w:tcW w:w="2946" w:type="dxa"/>
            <w:vAlign w:val="center"/>
            <w:hideMark/>
          </w:tcPr>
          <w:p w14:paraId="661279BF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variance model used fits the data.</w:t>
            </w:r>
          </w:p>
        </w:tc>
        <w:tc>
          <w:tcPr>
            <w:tcW w:w="1862" w:type="dxa"/>
            <w:vAlign w:val="center"/>
            <w:hideMark/>
          </w:tcPr>
          <w:p w14:paraId="6DD585C0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33791023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31B03805" w14:textId="77777777" w:rsidTr="00776E73">
        <w:tc>
          <w:tcPr>
            <w:tcW w:w="2697" w:type="dxa"/>
            <w:vAlign w:val="center"/>
            <w:hideMark/>
          </w:tcPr>
          <w:p w14:paraId="56DE126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Variance model selection</w:t>
            </w:r>
          </w:p>
        </w:tc>
        <w:tc>
          <w:tcPr>
            <w:tcW w:w="2946" w:type="dxa"/>
            <w:vAlign w:val="center"/>
            <w:hideMark/>
          </w:tcPr>
          <w:p w14:paraId="2074CBE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variance model is appropriate.</w:t>
            </w:r>
          </w:p>
        </w:tc>
        <w:tc>
          <w:tcPr>
            <w:tcW w:w="1862" w:type="dxa"/>
            <w:vAlign w:val="center"/>
            <w:hideMark/>
          </w:tcPr>
          <w:p w14:paraId="3BBFA953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42CF9C6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062558E6" w14:textId="77777777" w:rsidTr="00776E73">
        <w:tc>
          <w:tcPr>
            <w:tcW w:w="2697" w:type="dxa"/>
            <w:vAlign w:val="center"/>
            <w:hideMark/>
          </w:tcPr>
          <w:p w14:paraId="5061E36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 xml:space="preserve">Global goodness of fit </w:t>
            </w:r>
          </w:p>
        </w:tc>
        <w:tc>
          <w:tcPr>
            <w:tcW w:w="2946" w:type="dxa"/>
            <w:vAlign w:val="center"/>
            <w:hideMark/>
          </w:tcPr>
          <w:p w14:paraId="565E6446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mean model fits the data means sufficiently well (BMDS 2.7 Test 4 p-value &gt; N).</w:t>
            </w:r>
          </w:p>
        </w:tc>
        <w:tc>
          <w:tcPr>
            <w:tcW w:w="1862" w:type="dxa"/>
            <w:vAlign w:val="center"/>
            <w:hideMark/>
          </w:tcPr>
          <w:p w14:paraId="7E39BA8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0.1</w:t>
            </w:r>
          </w:p>
        </w:tc>
        <w:tc>
          <w:tcPr>
            <w:tcW w:w="1855" w:type="dxa"/>
            <w:vAlign w:val="center"/>
            <w:hideMark/>
          </w:tcPr>
          <w:p w14:paraId="07B6AD5C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114FD732" w14:textId="77777777" w:rsidTr="00776E73">
        <w:tc>
          <w:tcPr>
            <w:tcW w:w="2697" w:type="dxa"/>
            <w:vAlign w:val="center"/>
            <w:hideMark/>
          </w:tcPr>
          <w:p w14:paraId="61D0250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Degrees of freedom</w:t>
            </w:r>
          </w:p>
        </w:tc>
        <w:tc>
          <w:tcPr>
            <w:tcW w:w="2946" w:type="dxa"/>
            <w:vAlign w:val="center"/>
            <w:hideMark/>
          </w:tcPr>
          <w:p w14:paraId="092A581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There is at least one degree of freedom (i.e. more dose-groups than model parameters)</w:t>
            </w:r>
          </w:p>
        </w:tc>
        <w:tc>
          <w:tcPr>
            <w:tcW w:w="1862" w:type="dxa"/>
            <w:vAlign w:val="center"/>
            <w:hideMark/>
          </w:tcPr>
          <w:p w14:paraId="38822134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vAlign w:val="center"/>
            <w:hideMark/>
          </w:tcPr>
          <w:p w14:paraId="7340A03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6A546F27" w14:textId="77777777" w:rsidTr="00776E73">
        <w:tc>
          <w:tcPr>
            <w:tcW w:w="2697" w:type="dxa"/>
            <w:vAlign w:val="center"/>
            <w:hideMark/>
          </w:tcPr>
          <w:p w14:paraId="3EFF520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BMD-to-BMDL ratio</w:t>
            </w:r>
          </w:p>
        </w:tc>
        <w:tc>
          <w:tcPr>
            <w:tcW w:w="2946" w:type="dxa"/>
            <w:vAlign w:val="center"/>
            <w:hideMark/>
          </w:tcPr>
          <w:p w14:paraId="63FAF7F0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ratio of BMD to BMDL is not large (BMD/BMDL &lt; N).</w:t>
            </w:r>
          </w:p>
        </w:tc>
        <w:tc>
          <w:tcPr>
            <w:tcW w:w="1862" w:type="dxa"/>
            <w:vAlign w:val="center"/>
            <w:hideMark/>
          </w:tcPr>
          <w:p w14:paraId="2E0695C5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1855" w:type="dxa"/>
            <w:vAlign w:val="center"/>
            <w:hideMark/>
          </w:tcPr>
          <w:p w14:paraId="4DAC696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A22C01" w14:paraId="6625A30E" w14:textId="77777777" w:rsidTr="00776E73">
        <w:tc>
          <w:tcPr>
            <w:tcW w:w="2697" w:type="dxa"/>
            <w:vAlign w:val="center"/>
            <w:hideMark/>
          </w:tcPr>
          <w:p w14:paraId="44392A1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High BMDL</w:t>
            </w:r>
          </w:p>
        </w:tc>
        <w:tc>
          <w:tcPr>
            <w:tcW w:w="2946" w:type="dxa"/>
            <w:vAlign w:val="center"/>
            <w:hideMark/>
          </w:tcPr>
          <w:p w14:paraId="6010CF61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BMDL is &lt;N times higher than the maximum dose.</w:t>
            </w:r>
          </w:p>
        </w:tc>
        <w:tc>
          <w:tcPr>
            <w:tcW w:w="1862" w:type="dxa"/>
            <w:vAlign w:val="center"/>
            <w:hideMark/>
          </w:tcPr>
          <w:p w14:paraId="7FF0B552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5068F902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A22C01" w14:paraId="61EB98E3" w14:textId="77777777" w:rsidTr="00776E73">
        <w:tc>
          <w:tcPr>
            <w:tcW w:w="2697" w:type="dxa"/>
            <w:vAlign w:val="center"/>
            <w:hideMark/>
          </w:tcPr>
          <w:p w14:paraId="4CED4E6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High BMD</w:t>
            </w:r>
          </w:p>
        </w:tc>
        <w:tc>
          <w:tcPr>
            <w:tcW w:w="2946" w:type="dxa"/>
            <w:vAlign w:val="center"/>
            <w:hideMark/>
          </w:tcPr>
          <w:p w14:paraId="46E61BC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BMD is &lt;N times higher than the maximum dose.</w:t>
            </w:r>
          </w:p>
        </w:tc>
        <w:tc>
          <w:tcPr>
            <w:tcW w:w="1862" w:type="dxa"/>
            <w:vAlign w:val="center"/>
            <w:hideMark/>
          </w:tcPr>
          <w:p w14:paraId="04C4E1B6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1013C7F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  <w:tr w:rsidR="00A22C01" w14:paraId="2A3A1AD1" w14:textId="77777777" w:rsidTr="00776E73">
        <w:tc>
          <w:tcPr>
            <w:tcW w:w="2697" w:type="dxa"/>
            <w:vAlign w:val="center"/>
            <w:hideMark/>
          </w:tcPr>
          <w:p w14:paraId="6B1BC608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Low BMD</w:t>
            </w:r>
          </w:p>
        </w:tc>
        <w:tc>
          <w:tcPr>
            <w:tcW w:w="2946" w:type="dxa"/>
            <w:vAlign w:val="center"/>
            <w:hideMark/>
          </w:tcPr>
          <w:p w14:paraId="23891B1E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BMD is &lt;N times lower than the minimum nonzero dose.</w:t>
            </w:r>
          </w:p>
        </w:tc>
        <w:tc>
          <w:tcPr>
            <w:tcW w:w="1862" w:type="dxa"/>
            <w:vAlign w:val="center"/>
            <w:hideMark/>
          </w:tcPr>
          <w:p w14:paraId="5DE20B43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43D7007A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Non-reportable</w:t>
            </w:r>
          </w:p>
        </w:tc>
      </w:tr>
      <w:tr w:rsidR="00A22C01" w14:paraId="1001D3E0" w14:textId="77777777" w:rsidTr="00776E73">
        <w:tc>
          <w:tcPr>
            <w:tcW w:w="2697" w:type="dxa"/>
            <w:vAlign w:val="center"/>
            <w:hideMark/>
          </w:tcPr>
          <w:p w14:paraId="12239D3E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Control residual</w:t>
            </w:r>
          </w:p>
        </w:tc>
        <w:tc>
          <w:tcPr>
            <w:tcW w:w="2946" w:type="dxa"/>
            <w:vAlign w:val="center"/>
            <w:hideMark/>
          </w:tcPr>
          <w:p w14:paraId="7B541AC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residual at control is small (residual &lt; N).</w:t>
            </w:r>
          </w:p>
        </w:tc>
        <w:tc>
          <w:tcPr>
            <w:tcW w:w="1862" w:type="dxa"/>
            <w:vAlign w:val="center"/>
            <w:hideMark/>
          </w:tcPr>
          <w:p w14:paraId="64943A8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25963F29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68C1A65C" w14:textId="77777777" w:rsidTr="00776E73">
        <w:tc>
          <w:tcPr>
            <w:tcW w:w="2697" w:type="dxa"/>
            <w:vAlign w:val="center"/>
            <w:hideMark/>
          </w:tcPr>
          <w:p w14:paraId="3129F2E5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Control standard deviation</w:t>
            </w:r>
          </w:p>
        </w:tc>
        <w:tc>
          <w:tcPr>
            <w:tcW w:w="2946" w:type="dxa"/>
            <w:vAlign w:val="center"/>
            <w:hideMark/>
          </w:tcPr>
          <w:p w14:paraId="31580FB6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modeled standard deviation is similar to the actual (&lt;N times different).</w:t>
            </w:r>
          </w:p>
        </w:tc>
        <w:tc>
          <w:tcPr>
            <w:tcW w:w="1862" w:type="dxa"/>
            <w:vAlign w:val="center"/>
            <w:hideMark/>
          </w:tcPr>
          <w:p w14:paraId="1A5F8EC3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1.5</w:t>
            </w:r>
          </w:p>
        </w:tc>
        <w:tc>
          <w:tcPr>
            <w:tcW w:w="1855" w:type="dxa"/>
            <w:vAlign w:val="center"/>
            <w:hideMark/>
          </w:tcPr>
          <w:p w14:paraId="5EF499E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4E38C28D" w14:textId="77777777" w:rsidTr="00776E73">
        <w:tc>
          <w:tcPr>
            <w:tcW w:w="2697" w:type="dxa"/>
            <w:vAlign w:val="center"/>
            <w:hideMark/>
          </w:tcPr>
          <w:p w14:paraId="6817F70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Residual of interest</w:t>
            </w:r>
          </w:p>
        </w:tc>
        <w:tc>
          <w:tcPr>
            <w:tcW w:w="2946" w:type="dxa"/>
            <w:vAlign w:val="center"/>
            <w:hideMark/>
          </w:tcPr>
          <w:p w14:paraId="7A6CBF0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The residual at the dose group closest to the BMD (i.e., the residual of interest) is small (residual &lt; N).</w:t>
            </w:r>
          </w:p>
        </w:tc>
        <w:tc>
          <w:tcPr>
            <w:tcW w:w="1862" w:type="dxa"/>
            <w:vAlign w:val="center"/>
            <w:hideMark/>
          </w:tcPr>
          <w:p w14:paraId="38EA4B10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0F4E69AD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Nonviable</w:t>
            </w:r>
          </w:p>
        </w:tc>
      </w:tr>
      <w:tr w:rsidR="00A22C01" w14:paraId="3375EB4F" w14:textId="77777777" w:rsidTr="00776E73">
        <w:tc>
          <w:tcPr>
            <w:tcW w:w="26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8C779B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 warnings reported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D57417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No warnings in the BMD model system were reported.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D356B8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N/A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B2ABCE" w14:textId="77777777" w:rsidR="00A22C01" w:rsidRDefault="00A22C01">
            <w:pPr>
              <w:pStyle w:val="bmdsTblBody"/>
              <w:jc w:val="center"/>
            </w:pPr>
            <w:r>
              <w:rPr>
                <w:sz w:val="16"/>
              </w:rPr>
              <w:t>Viable</w:t>
            </w:r>
          </w:p>
        </w:tc>
      </w:tr>
    </w:tbl>
    <w:p w14:paraId="7C65FE9D" w14:textId="77777777" w:rsidR="00C505B6" w:rsidRDefault="00776E73"/>
    <w:sectPr w:rsidR="00C5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74"/>
    <w:rsid w:val="0021102E"/>
    <w:rsid w:val="00776E73"/>
    <w:rsid w:val="00A22C01"/>
    <w:rsid w:val="00E45C74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7B1E-D24F-49BD-8028-9DE5A1B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01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0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22C01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A22C01"/>
    <w:rPr>
      <w:rFonts w:ascii="Times New Roman" w:hAnsi="Times New Roman"/>
      <w:sz w:val="18"/>
    </w:rPr>
  </w:style>
  <w:style w:type="paragraph" w:customStyle="1" w:styleId="bmdsTblHeader">
    <w:name w:val="bmdsTblHeader"/>
    <w:basedOn w:val="bmdsTblBody"/>
    <w:qFormat/>
    <w:rsid w:val="00A22C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3</cp:revision>
  <dcterms:created xsi:type="dcterms:W3CDTF">2021-05-21T14:06:00Z</dcterms:created>
  <dcterms:modified xsi:type="dcterms:W3CDTF">2021-07-16T05:16:00Z</dcterms:modified>
</cp:coreProperties>
</file>