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5094" w14:textId="77777777" w:rsidR="00E73F33" w:rsidRDefault="00E73F33" w:rsidP="00E73F33">
      <w:pPr>
        <w:rPr>
          <w:rFonts w:ascii="Times New Roman" w:hAnsi="Times New Roman" w:cs="Times New Roman"/>
        </w:rPr>
      </w:pPr>
      <w:r>
        <w:rPr>
          <w:noProof/>
        </w:rPr>
        <w:object w:dxaOrig="11021" w:dyaOrig="14664" w14:anchorId="6B94AD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1.5pt;height:573.5pt;mso-width-percent:0;mso-height-percent:0;mso-width-percent:0;mso-height-percent:0" o:ole="">
            <v:imagedata r:id="rId4" o:title=""/>
          </v:shape>
          <o:OLEObject Type="Embed" ProgID="Prism9.Document" ShapeID="_x0000_i1025" DrawAspect="Content" ObjectID="_1719134998" r:id="rId5"/>
        </w:object>
      </w:r>
    </w:p>
    <w:p w14:paraId="2F811103" w14:textId="77777777" w:rsidR="00E73F33" w:rsidRDefault="00E73F33" w:rsidP="00E73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2. Mean body weight of (A) TPHP and (B) IPP exposed F0 dams during gestation and lactation. Graphs depict mean ± SEM.</w:t>
      </w:r>
    </w:p>
    <w:p w14:paraId="3A8BB406" w14:textId="77777777" w:rsidR="00BC3F96" w:rsidRDefault="00BC3F96"/>
    <w:sectPr w:rsidR="00BC3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33"/>
    <w:rsid w:val="00BC3F96"/>
    <w:rsid w:val="00E7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90AE"/>
  <w15:chartTrackingRefBased/>
  <w15:docId w15:val="{846028EA-6C83-4308-A566-A09660E9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F3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Macpherson, Amber (NIH/NIEHS) [C]</dc:creator>
  <cp:keywords/>
  <dc:description/>
  <cp:lastModifiedBy>Macpherson, Amber (NIH/NIEHS) [C]</cp:lastModifiedBy>
  <cp:revision>1</cp:revision>
  <dcterms:created xsi:type="dcterms:W3CDTF">2022-07-12T18:43:00Z</dcterms:created>
  <dcterms:modified xsi:type="dcterms:W3CDTF">2022-07-12T18:43:00Z</dcterms:modified>
</cp:coreProperties>
</file>