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DCBE" w14:textId="77777777" w:rsidR="00D06395" w:rsidRDefault="00D06395" w:rsidP="00D06395">
      <w:pPr>
        <w:pStyle w:val="Heading3"/>
      </w:pPr>
      <w:r>
        <w:t>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908"/>
        <w:gridCol w:w="908"/>
        <w:gridCol w:w="907"/>
        <w:gridCol w:w="907"/>
        <w:gridCol w:w="907"/>
        <w:gridCol w:w="907"/>
        <w:gridCol w:w="907"/>
        <w:gridCol w:w="907"/>
        <w:gridCol w:w="907"/>
        <w:gridCol w:w="907"/>
        <w:gridCol w:w="870"/>
        <w:gridCol w:w="990"/>
      </w:tblGrid>
      <w:tr w:rsidR="00D06395" w14:paraId="5BB4C196" w14:textId="77777777" w:rsidTr="00D06395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3A2BFC" w14:textId="77777777" w:rsidR="00D06395" w:rsidRDefault="00D06395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B6168C" w14:textId="77777777" w:rsidR="00D06395" w:rsidRDefault="00D06395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8BD4F2" w14:textId="77777777" w:rsidR="00D06395" w:rsidRDefault="00D06395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752AD1" w14:textId="77777777" w:rsidR="00D06395" w:rsidRDefault="00D06395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F88B22" w14:textId="77777777" w:rsidR="00D06395" w:rsidRDefault="00D06395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FFE972E" w14:textId="77777777" w:rsidR="00D06395" w:rsidRDefault="00D06395">
            <w:pPr>
              <w:pStyle w:val="bmdsTblHeader"/>
              <w:jc w:val="center"/>
            </w:pPr>
            <w:r>
              <w:t>2.0 mg/kg</w:t>
            </w:r>
            <w:r>
              <w:br/>
              <w:t>N = 4-5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FA950F" w14:textId="77777777" w:rsidR="00D06395" w:rsidRDefault="00D06395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350FA8" w14:textId="77777777" w:rsidR="00D06395" w:rsidRDefault="00D06395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A66424" w14:textId="77777777" w:rsidR="00D06395" w:rsidRDefault="00D06395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5C9731" w14:textId="77777777" w:rsidR="00D06395" w:rsidRDefault="00D06395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20EBAC" w14:textId="77777777" w:rsidR="00D06395" w:rsidRDefault="00D06395">
            <w:pPr>
              <w:pStyle w:val="bmdsTblHeader"/>
              <w:jc w:val="center"/>
            </w:pPr>
            <w:r>
              <w:t>475.0 mg/kg</w:t>
            </w:r>
            <w:r>
              <w:br/>
              <w:t>N = 4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FDFA28" w14:textId="77777777" w:rsidR="00D06395" w:rsidRDefault="00D06395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728DC0" w14:textId="77777777" w:rsidR="00D06395" w:rsidRDefault="00D06395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D06395" w14:paraId="1D69E391" w14:textId="77777777" w:rsidTr="00D06395">
        <w:tc>
          <w:tcPr>
            <w:tcW w:w="8640" w:type="dxa"/>
            <w:vAlign w:val="center"/>
            <w:hideMark/>
          </w:tcPr>
          <w:p w14:paraId="4073723B" w14:textId="77777777" w:rsidR="00D06395" w:rsidRDefault="00D06395">
            <w:pPr>
              <w:pStyle w:val="bmdsTblBody"/>
            </w:pPr>
            <w:r>
              <w:t>Creatinine (mg/dL)</w:t>
            </w:r>
          </w:p>
        </w:tc>
        <w:tc>
          <w:tcPr>
            <w:tcW w:w="3528" w:type="dxa"/>
            <w:vAlign w:val="center"/>
            <w:hideMark/>
          </w:tcPr>
          <w:p w14:paraId="27F21A0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0.48 ± 0.01*</w:t>
            </w:r>
          </w:p>
        </w:tc>
        <w:tc>
          <w:tcPr>
            <w:tcW w:w="3528" w:type="dxa"/>
            <w:vAlign w:val="center"/>
            <w:hideMark/>
          </w:tcPr>
          <w:p w14:paraId="0DDC404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0.46 ± 0.02</w:t>
            </w:r>
          </w:p>
        </w:tc>
        <w:tc>
          <w:tcPr>
            <w:tcW w:w="3528" w:type="dxa"/>
            <w:vAlign w:val="center"/>
            <w:hideMark/>
          </w:tcPr>
          <w:p w14:paraId="559B9CB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0.46 ± 0.02</w:t>
            </w:r>
          </w:p>
        </w:tc>
        <w:tc>
          <w:tcPr>
            <w:tcW w:w="3528" w:type="dxa"/>
            <w:vAlign w:val="center"/>
            <w:hideMark/>
          </w:tcPr>
          <w:p w14:paraId="4DD72085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0.50 ± 0.00</w:t>
            </w:r>
          </w:p>
        </w:tc>
        <w:tc>
          <w:tcPr>
            <w:tcW w:w="3528" w:type="dxa"/>
            <w:vAlign w:val="center"/>
            <w:hideMark/>
          </w:tcPr>
          <w:p w14:paraId="51076F9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25502B67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0F9DCF76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0.42 ± 0.02</w:t>
            </w:r>
          </w:p>
        </w:tc>
        <w:tc>
          <w:tcPr>
            <w:tcW w:w="3528" w:type="dxa"/>
            <w:vAlign w:val="center"/>
            <w:hideMark/>
          </w:tcPr>
          <w:p w14:paraId="342C8875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0.38 ± 0.05</w:t>
            </w:r>
          </w:p>
        </w:tc>
        <w:tc>
          <w:tcPr>
            <w:tcW w:w="3528" w:type="dxa"/>
            <w:vAlign w:val="center"/>
            <w:hideMark/>
          </w:tcPr>
          <w:p w14:paraId="2B7BB8E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0.44 ± 0.02</w:t>
            </w:r>
          </w:p>
        </w:tc>
        <w:tc>
          <w:tcPr>
            <w:tcW w:w="3528" w:type="dxa"/>
            <w:vAlign w:val="center"/>
            <w:hideMark/>
          </w:tcPr>
          <w:p w14:paraId="4470A1C6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0.48 ± 0.02</w:t>
            </w:r>
          </w:p>
        </w:tc>
        <w:tc>
          <w:tcPr>
            <w:tcW w:w="720" w:type="dxa"/>
            <w:vAlign w:val="center"/>
            <w:hideMark/>
          </w:tcPr>
          <w:p w14:paraId="2FFB0372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4BBFF01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06395" w14:paraId="22CC6AB8" w14:textId="77777777" w:rsidTr="00D06395">
        <w:tc>
          <w:tcPr>
            <w:tcW w:w="8640" w:type="dxa"/>
            <w:vAlign w:val="center"/>
            <w:hideMark/>
          </w:tcPr>
          <w:p w14:paraId="024C0347" w14:textId="77777777" w:rsidR="00D06395" w:rsidRDefault="00D06395">
            <w:pPr>
              <w:pStyle w:val="bmdsTblBody"/>
            </w:pPr>
            <w:r>
              <w:t>Globulin (measured) (g/dL)</w:t>
            </w:r>
          </w:p>
        </w:tc>
        <w:tc>
          <w:tcPr>
            <w:tcW w:w="3528" w:type="dxa"/>
            <w:vAlign w:val="center"/>
            <w:hideMark/>
          </w:tcPr>
          <w:p w14:paraId="392666D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1.68 ± 0.04**</w:t>
            </w:r>
          </w:p>
        </w:tc>
        <w:tc>
          <w:tcPr>
            <w:tcW w:w="3528" w:type="dxa"/>
            <w:vAlign w:val="center"/>
            <w:hideMark/>
          </w:tcPr>
          <w:p w14:paraId="11448B8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1.68 ± 0.09</w:t>
            </w:r>
          </w:p>
        </w:tc>
        <w:tc>
          <w:tcPr>
            <w:tcW w:w="3528" w:type="dxa"/>
            <w:vAlign w:val="center"/>
            <w:hideMark/>
          </w:tcPr>
          <w:p w14:paraId="0DAA35E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1.60 ± 0.04</w:t>
            </w:r>
          </w:p>
        </w:tc>
        <w:tc>
          <w:tcPr>
            <w:tcW w:w="3528" w:type="dxa"/>
            <w:vAlign w:val="center"/>
            <w:hideMark/>
          </w:tcPr>
          <w:p w14:paraId="55E1BF2B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1.72 ± 0.04</w:t>
            </w:r>
          </w:p>
        </w:tc>
        <w:tc>
          <w:tcPr>
            <w:tcW w:w="3528" w:type="dxa"/>
            <w:vAlign w:val="center"/>
            <w:hideMark/>
          </w:tcPr>
          <w:p w14:paraId="506FCAE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1.78 ± 0.07</w:t>
            </w:r>
          </w:p>
        </w:tc>
        <w:tc>
          <w:tcPr>
            <w:tcW w:w="3528" w:type="dxa"/>
            <w:vAlign w:val="center"/>
            <w:hideMark/>
          </w:tcPr>
          <w:p w14:paraId="6BC90565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1.74 ± 0.12</w:t>
            </w:r>
          </w:p>
        </w:tc>
        <w:tc>
          <w:tcPr>
            <w:tcW w:w="3528" w:type="dxa"/>
            <w:vAlign w:val="center"/>
            <w:hideMark/>
          </w:tcPr>
          <w:p w14:paraId="19E0D3F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1.66 ± 0.12</w:t>
            </w:r>
          </w:p>
        </w:tc>
        <w:tc>
          <w:tcPr>
            <w:tcW w:w="3528" w:type="dxa"/>
            <w:vAlign w:val="center"/>
            <w:hideMark/>
          </w:tcPr>
          <w:p w14:paraId="6130E107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1.76 ± 0.05</w:t>
            </w:r>
          </w:p>
        </w:tc>
        <w:tc>
          <w:tcPr>
            <w:tcW w:w="3528" w:type="dxa"/>
            <w:vAlign w:val="center"/>
            <w:hideMark/>
          </w:tcPr>
          <w:p w14:paraId="2B35C72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1.90 ± 0.11</w:t>
            </w:r>
          </w:p>
        </w:tc>
        <w:tc>
          <w:tcPr>
            <w:tcW w:w="3528" w:type="dxa"/>
            <w:vAlign w:val="center"/>
            <w:hideMark/>
          </w:tcPr>
          <w:p w14:paraId="4924DA96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1.88 ± 0.09</w:t>
            </w:r>
          </w:p>
        </w:tc>
        <w:tc>
          <w:tcPr>
            <w:tcW w:w="720" w:type="dxa"/>
            <w:vAlign w:val="center"/>
            <w:hideMark/>
          </w:tcPr>
          <w:p w14:paraId="25E27CAB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125.835</w:t>
            </w:r>
          </w:p>
        </w:tc>
        <w:tc>
          <w:tcPr>
            <w:tcW w:w="720" w:type="dxa"/>
            <w:vAlign w:val="center"/>
            <w:hideMark/>
          </w:tcPr>
          <w:p w14:paraId="7CD56D3B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68.45</w:t>
            </w:r>
          </w:p>
        </w:tc>
      </w:tr>
      <w:tr w:rsidR="00D06395" w14:paraId="29EF61C9" w14:textId="77777777" w:rsidTr="00D06395">
        <w:tc>
          <w:tcPr>
            <w:tcW w:w="8640" w:type="dxa"/>
            <w:vAlign w:val="center"/>
            <w:hideMark/>
          </w:tcPr>
          <w:p w14:paraId="1726D91B" w14:textId="77777777" w:rsidR="00D06395" w:rsidRDefault="00D06395">
            <w:pPr>
              <w:pStyle w:val="bmdsTblBody"/>
            </w:pPr>
            <w:r>
              <w:t>A/G Ratio (g/dL)</w:t>
            </w:r>
          </w:p>
        </w:tc>
        <w:tc>
          <w:tcPr>
            <w:tcW w:w="3528" w:type="dxa"/>
            <w:vAlign w:val="center"/>
            <w:hideMark/>
          </w:tcPr>
          <w:p w14:paraId="4863A67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2.65 ± 0.07*</w:t>
            </w:r>
          </w:p>
        </w:tc>
        <w:tc>
          <w:tcPr>
            <w:tcW w:w="3528" w:type="dxa"/>
            <w:vAlign w:val="center"/>
            <w:hideMark/>
          </w:tcPr>
          <w:p w14:paraId="31F706C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2.67 ± 0.21</w:t>
            </w:r>
          </w:p>
        </w:tc>
        <w:tc>
          <w:tcPr>
            <w:tcW w:w="3528" w:type="dxa"/>
            <w:vAlign w:val="center"/>
            <w:hideMark/>
          </w:tcPr>
          <w:p w14:paraId="6CCB629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2.75 ± 0.14</w:t>
            </w:r>
          </w:p>
        </w:tc>
        <w:tc>
          <w:tcPr>
            <w:tcW w:w="3528" w:type="dxa"/>
            <w:vAlign w:val="center"/>
            <w:hideMark/>
          </w:tcPr>
          <w:p w14:paraId="51934A4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2.56 ± 0.05</w:t>
            </w:r>
          </w:p>
        </w:tc>
        <w:tc>
          <w:tcPr>
            <w:tcW w:w="3528" w:type="dxa"/>
            <w:vAlign w:val="center"/>
            <w:hideMark/>
          </w:tcPr>
          <w:p w14:paraId="1A962C0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2.54 ± 0.13</w:t>
            </w:r>
          </w:p>
        </w:tc>
        <w:tc>
          <w:tcPr>
            <w:tcW w:w="3528" w:type="dxa"/>
            <w:vAlign w:val="center"/>
            <w:hideMark/>
          </w:tcPr>
          <w:p w14:paraId="0E243AB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2.55 ± 0.16</w:t>
            </w:r>
          </w:p>
        </w:tc>
        <w:tc>
          <w:tcPr>
            <w:tcW w:w="3528" w:type="dxa"/>
            <w:vAlign w:val="center"/>
            <w:hideMark/>
          </w:tcPr>
          <w:p w14:paraId="1EEDA2C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2.68 ± 0.23</w:t>
            </w:r>
          </w:p>
        </w:tc>
        <w:tc>
          <w:tcPr>
            <w:tcW w:w="3528" w:type="dxa"/>
            <w:vAlign w:val="center"/>
            <w:hideMark/>
          </w:tcPr>
          <w:p w14:paraId="1D8B52E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2.56 ± 0.05</w:t>
            </w:r>
          </w:p>
        </w:tc>
        <w:tc>
          <w:tcPr>
            <w:tcW w:w="3528" w:type="dxa"/>
            <w:vAlign w:val="center"/>
            <w:hideMark/>
          </w:tcPr>
          <w:p w14:paraId="04F8969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2.35 ± 0.12</w:t>
            </w:r>
          </w:p>
        </w:tc>
        <w:tc>
          <w:tcPr>
            <w:tcW w:w="3528" w:type="dxa"/>
            <w:vAlign w:val="center"/>
            <w:hideMark/>
          </w:tcPr>
          <w:p w14:paraId="4FB56EC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2.33 ± 0.09</w:t>
            </w:r>
          </w:p>
        </w:tc>
        <w:tc>
          <w:tcPr>
            <w:tcW w:w="720" w:type="dxa"/>
            <w:vAlign w:val="center"/>
            <w:hideMark/>
          </w:tcPr>
          <w:p w14:paraId="7E66A46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42BEB9E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06395" w14:paraId="7E0181F2" w14:textId="77777777" w:rsidTr="00D06395">
        <w:tc>
          <w:tcPr>
            <w:tcW w:w="8640" w:type="dxa"/>
            <w:vAlign w:val="center"/>
            <w:hideMark/>
          </w:tcPr>
          <w:p w14:paraId="5F8727B2" w14:textId="77777777" w:rsidR="00D06395" w:rsidRDefault="00D06395">
            <w:pPr>
              <w:pStyle w:val="bmdsTblBody"/>
            </w:pPr>
            <w:r>
              <w:t>Cholesterol (mg/dL)</w:t>
            </w:r>
          </w:p>
        </w:tc>
        <w:tc>
          <w:tcPr>
            <w:tcW w:w="3528" w:type="dxa"/>
            <w:vAlign w:val="center"/>
            <w:hideMark/>
          </w:tcPr>
          <w:p w14:paraId="5F0AC30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118.1 ± 3.7*</w:t>
            </w:r>
          </w:p>
        </w:tc>
        <w:tc>
          <w:tcPr>
            <w:tcW w:w="3528" w:type="dxa"/>
            <w:vAlign w:val="center"/>
            <w:hideMark/>
          </w:tcPr>
          <w:p w14:paraId="3AE91546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117.0 ± 5.1</w:t>
            </w:r>
          </w:p>
        </w:tc>
        <w:tc>
          <w:tcPr>
            <w:tcW w:w="3528" w:type="dxa"/>
            <w:vAlign w:val="center"/>
            <w:hideMark/>
          </w:tcPr>
          <w:p w14:paraId="1AE1F29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110.0 ± 2.8</w:t>
            </w:r>
          </w:p>
        </w:tc>
        <w:tc>
          <w:tcPr>
            <w:tcW w:w="3528" w:type="dxa"/>
            <w:vAlign w:val="center"/>
            <w:hideMark/>
          </w:tcPr>
          <w:p w14:paraId="6923CA9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114.8 ± 2.5</w:t>
            </w:r>
          </w:p>
        </w:tc>
        <w:tc>
          <w:tcPr>
            <w:tcW w:w="3528" w:type="dxa"/>
            <w:vAlign w:val="center"/>
            <w:hideMark/>
          </w:tcPr>
          <w:p w14:paraId="1D1EFC5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113.8 ± 2.8</w:t>
            </w:r>
          </w:p>
        </w:tc>
        <w:tc>
          <w:tcPr>
            <w:tcW w:w="3528" w:type="dxa"/>
            <w:vAlign w:val="center"/>
            <w:hideMark/>
          </w:tcPr>
          <w:p w14:paraId="48C42D8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118.6 ± 3.7</w:t>
            </w:r>
          </w:p>
        </w:tc>
        <w:tc>
          <w:tcPr>
            <w:tcW w:w="3528" w:type="dxa"/>
            <w:vAlign w:val="center"/>
            <w:hideMark/>
          </w:tcPr>
          <w:p w14:paraId="2913D1F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104.6 ± 6.5</w:t>
            </w:r>
          </w:p>
        </w:tc>
        <w:tc>
          <w:tcPr>
            <w:tcW w:w="3528" w:type="dxa"/>
            <w:vAlign w:val="center"/>
            <w:hideMark/>
          </w:tcPr>
          <w:p w14:paraId="786B9BF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115.6 ± 5.5</w:t>
            </w:r>
          </w:p>
        </w:tc>
        <w:tc>
          <w:tcPr>
            <w:tcW w:w="3528" w:type="dxa"/>
            <w:vAlign w:val="center"/>
            <w:hideMark/>
          </w:tcPr>
          <w:p w14:paraId="534C4B3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107.6 ± 5.7</w:t>
            </w:r>
          </w:p>
        </w:tc>
        <w:tc>
          <w:tcPr>
            <w:tcW w:w="3528" w:type="dxa"/>
            <w:vAlign w:val="center"/>
            <w:hideMark/>
          </w:tcPr>
          <w:p w14:paraId="30EF7FF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100.8 ± 1.4*</w:t>
            </w:r>
          </w:p>
        </w:tc>
        <w:tc>
          <w:tcPr>
            <w:tcW w:w="720" w:type="dxa"/>
            <w:vAlign w:val="center"/>
            <w:hideMark/>
          </w:tcPr>
          <w:p w14:paraId="6F0DC70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17.539</w:t>
            </w:r>
          </w:p>
        </w:tc>
        <w:tc>
          <w:tcPr>
            <w:tcW w:w="720" w:type="dxa"/>
            <w:vAlign w:val="center"/>
            <w:hideMark/>
          </w:tcPr>
          <w:p w14:paraId="7E9A3C2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14.31</w:t>
            </w:r>
          </w:p>
        </w:tc>
      </w:tr>
      <w:tr w:rsidR="00D06395" w14:paraId="471E7C93" w14:textId="77777777" w:rsidTr="00D06395">
        <w:tc>
          <w:tcPr>
            <w:tcW w:w="8640" w:type="dxa"/>
            <w:vAlign w:val="center"/>
            <w:hideMark/>
          </w:tcPr>
          <w:p w14:paraId="1AE31787" w14:textId="77777777" w:rsidR="00D06395" w:rsidRDefault="00D06395">
            <w:pPr>
              <w:pStyle w:val="bmdsTblBody"/>
            </w:pPr>
            <w:r>
              <w:t>Alanine aminotransferase (IU/L)</w:t>
            </w:r>
          </w:p>
        </w:tc>
        <w:tc>
          <w:tcPr>
            <w:tcW w:w="3528" w:type="dxa"/>
            <w:vAlign w:val="center"/>
            <w:hideMark/>
          </w:tcPr>
          <w:p w14:paraId="150A5E3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61.8 ± 3.1*</w:t>
            </w:r>
          </w:p>
        </w:tc>
        <w:tc>
          <w:tcPr>
            <w:tcW w:w="3528" w:type="dxa"/>
            <w:vAlign w:val="center"/>
            <w:hideMark/>
          </w:tcPr>
          <w:p w14:paraId="49CCA14B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54.4 ± 3.2</w:t>
            </w:r>
          </w:p>
        </w:tc>
        <w:tc>
          <w:tcPr>
            <w:tcW w:w="3528" w:type="dxa"/>
            <w:vAlign w:val="center"/>
            <w:hideMark/>
          </w:tcPr>
          <w:p w14:paraId="4A54A11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60.4 ± 3.5</w:t>
            </w:r>
          </w:p>
        </w:tc>
        <w:tc>
          <w:tcPr>
            <w:tcW w:w="3528" w:type="dxa"/>
            <w:vAlign w:val="center"/>
            <w:hideMark/>
          </w:tcPr>
          <w:p w14:paraId="2BB60B2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64.2 ± 6.2</w:t>
            </w:r>
          </w:p>
        </w:tc>
        <w:tc>
          <w:tcPr>
            <w:tcW w:w="3528" w:type="dxa"/>
            <w:vAlign w:val="center"/>
            <w:hideMark/>
          </w:tcPr>
          <w:p w14:paraId="01D7092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58.6 ± 2.7</w:t>
            </w:r>
          </w:p>
        </w:tc>
        <w:tc>
          <w:tcPr>
            <w:tcW w:w="3528" w:type="dxa"/>
            <w:vAlign w:val="center"/>
            <w:hideMark/>
          </w:tcPr>
          <w:p w14:paraId="3185D35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55.8 ± 0.5</w:t>
            </w:r>
          </w:p>
        </w:tc>
        <w:tc>
          <w:tcPr>
            <w:tcW w:w="3528" w:type="dxa"/>
            <w:vAlign w:val="center"/>
            <w:hideMark/>
          </w:tcPr>
          <w:p w14:paraId="760870D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63.8 ± 2.8</w:t>
            </w:r>
          </w:p>
        </w:tc>
        <w:tc>
          <w:tcPr>
            <w:tcW w:w="3528" w:type="dxa"/>
            <w:vAlign w:val="center"/>
            <w:hideMark/>
          </w:tcPr>
          <w:p w14:paraId="3CDEC61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64.0 ± 9.6</w:t>
            </w:r>
          </w:p>
        </w:tc>
        <w:tc>
          <w:tcPr>
            <w:tcW w:w="3528" w:type="dxa"/>
            <w:vAlign w:val="center"/>
            <w:hideMark/>
          </w:tcPr>
          <w:p w14:paraId="496271A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66.6 ± 3.3</w:t>
            </w:r>
          </w:p>
        </w:tc>
        <w:tc>
          <w:tcPr>
            <w:tcW w:w="3528" w:type="dxa"/>
            <w:vAlign w:val="center"/>
            <w:hideMark/>
          </w:tcPr>
          <w:p w14:paraId="60AE8222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96.0 ± 10.5</w:t>
            </w:r>
          </w:p>
        </w:tc>
        <w:tc>
          <w:tcPr>
            <w:tcW w:w="720" w:type="dxa"/>
            <w:vAlign w:val="center"/>
            <w:hideMark/>
          </w:tcPr>
          <w:p w14:paraId="21C33F3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5A5D449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06395" w14:paraId="69E043DC" w14:textId="77777777" w:rsidTr="00D06395">
        <w:tc>
          <w:tcPr>
            <w:tcW w:w="8640" w:type="dxa"/>
            <w:vAlign w:val="center"/>
            <w:hideMark/>
          </w:tcPr>
          <w:p w14:paraId="779DF40F" w14:textId="77777777" w:rsidR="00D06395" w:rsidRDefault="00D06395">
            <w:pPr>
              <w:pStyle w:val="bmdsTblBody"/>
            </w:pPr>
            <w:r>
              <w:t>Alkaline phosphatase (IU/L)</w:t>
            </w:r>
          </w:p>
        </w:tc>
        <w:tc>
          <w:tcPr>
            <w:tcW w:w="3528" w:type="dxa"/>
            <w:vAlign w:val="center"/>
            <w:hideMark/>
          </w:tcPr>
          <w:p w14:paraId="01A8C96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267.8 ± 8.0**</w:t>
            </w:r>
          </w:p>
        </w:tc>
        <w:tc>
          <w:tcPr>
            <w:tcW w:w="3528" w:type="dxa"/>
            <w:vAlign w:val="center"/>
            <w:hideMark/>
          </w:tcPr>
          <w:p w14:paraId="43443CA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253.4 ± 24.6</w:t>
            </w:r>
          </w:p>
        </w:tc>
        <w:tc>
          <w:tcPr>
            <w:tcW w:w="3528" w:type="dxa"/>
            <w:vAlign w:val="center"/>
            <w:hideMark/>
          </w:tcPr>
          <w:p w14:paraId="2BD8B02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252.8 ± 8.7</w:t>
            </w:r>
          </w:p>
        </w:tc>
        <w:tc>
          <w:tcPr>
            <w:tcW w:w="3528" w:type="dxa"/>
            <w:vAlign w:val="center"/>
            <w:hideMark/>
          </w:tcPr>
          <w:p w14:paraId="32E9F44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277.0 ± 18.2</w:t>
            </w:r>
          </w:p>
        </w:tc>
        <w:tc>
          <w:tcPr>
            <w:tcW w:w="3528" w:type="dxa"/>
            <w:vAlign w:val="center"/>
            <w:hideMark/>
          </w:tcPr>
          <w:p w14:paraId="544C044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269.5 ± 8.2</w:t>
            </w:r>
          </w:p>
        </w:tc>
        <w:tc>
          <w:tcPr>
            <w:tcW w:w="3528" w:type="dxa"/>
            <w:vAlign w:val="center"/>
            <w:hideMark/>
          </w:tcPr>
          <w:p w14:paraId="034E020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263.8 ± 10.7</w:t>
            </w:r>
          </w:p>
        </w:tc>
        <w:tc>
          <w:tcPr>
            <w:tcW w:w="3528" w:type="dxa"/>
            <w:vAlign w:val="center"/>
            <w:hideMark/>
          </w:tcPr>
          <w:p w14:paraId="62AF6F6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285.0 ± 4.5</w:t>
            </w:r>
          </w:p>
        </w:tc>
        <w:tc>
          <w:tcPr>
            <w:tcW w:w="3528" w:type="dxa"/>
            <w:vAlign w:val="center"/>
            <w:hideMark/>
          </w:tcPr>
          <w:p w14:paraId="7F526FA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284.8 ± 20.5</w:t>
            </w:r>
          </w:p>
        </w:tc>
        <w:tc>
          <w:tcPr>
            <w:tcW w:w="3528" w:type="dxa"/>
            <w:vAlign w:val="center"/>
            <w:hideMark/>
          </w:tcPr>
          <w:p w14:paraId="18916BD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326.0 ± 23.7*</w:t>
            </w:r>
          </w:p>
        </w:tc>
        <w:tc>
          <w:tcPr>
            <w:tcW w:w="3528" w:type="dxa"/>
            <w:vAlign w:val="center"/>
            <w:hideMark/>
          </w:tcPr>
          <w:p w14:paraId="1DE24CB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351.0 ± 12.8**</w:t>
            </w:r>
          </w:p>
        </w:tc>
        <w:tc>
          <w:tcPr>
            <w:tcW w:w="720" w:type="dxa"/>
            <w:vAlign w:val="center"/>
            <w:hideMark/>
          </w:tcPr>
          <w:p w14:paraId="0DA56112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1C89B48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06395" w14:paraId="52A0FEF3" w14:textId="77777777" w:rsidTr="00D06395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98496E" w14:textId="77777777" w:rsidR="00D06395" w:rsidRDefault="00D06395">
            <w:pPr>
              <w:pStyle w:val="bmdsTblBody"/>
            </w:pPr>
            <w:r>
              <w:t>Aspartate Aminotransferase (U/L)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C45DA1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80.22 ± 3.53*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CDDD5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77.80 ± 3.02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AFF7E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86.00 ± 7.33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BC5B7A7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83.20 ± 6.61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2342A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78.60 ± 2.98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C006D5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76.60 ± 2.46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D30C3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76.80 ± 2.33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A8991E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87.00 ± 8.84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AAEE33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88.40 ± 4.01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4EC94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122.25 ± 11.46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8DB4D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60621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05619968" w14:textId="77777777" w:rsidR="00D06395" w:rsidRDefault="00D06395" w:rsidP="00D06395">
      <w:pPr>
        <w:sectPr w:rsidR="00D06395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C46D831" w14:textId="77777777" w:rsidR="00D06395" w:rsidRDefault="00D06395" w:rsidP="00D06395">
      <w:pPr>
        <w:pStyle w:val="Heading3"/>
      </w:pPr>
      <w:r>
        <w:lastRenderedPageBreak/>
        <w:t>Female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908"/>
        <w:gridCol w:w="908"/>
        <w:gridCol w:w="907"/>
        <w:gridCol w:w="907"/>
        <w:gridCol w:w="907"/>
        <w:gridCol w:w="907"/>
        <w:gridCol w:w="907"/>
        <w:gridCol w:w="907"/>
        <w:gridCol w:w="907"/>
        <w:gridCol w:w="907"/>
        <w:gridCol w:w="870"/>
        <w:gridCol w:w="990"/>
      </w:tblGrid>
      <w:tr w:rsidR="00D06395" w14:paraId="45BE3BF4" w14:textId="77777777" w:rsidTr="00D06395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4E08620" w14:textId="77777777" w:rsidR="00D06395" w:rsidRDefault="00D06395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86478E" w14:textId="77777777" w:rsidR="00D06395" w:rsidRDefault="00D06395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E73C277" w14:textId="77777777" w:rsidR="00D06395" w:rsidRDefault="00D06395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F82BB2" w14:textId="77777777" w:rsidR="00D06395" w:rsidRDefault="00D06395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B104B0" w14:textId="77777777" w:rsidR="00D06395" w:rsidRDefault="00D06395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0D902F" w14:textId="77777777" w:rsidR="00D06395" w:rsidRDefault="00D06395">
            <w:pPr>
              <w:pStyle w:val="bmdsTblHeader"/>
              <w:jc w:val="center"/>
            </w:pPr>
            <w:r>
              <w:t>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D61100D" w14:textId="77777777" w:rsidR="00D06395" w:rsidRDefault="00D06395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B1864E" w14:textId="77777777" w:rsidR="00D06395" w:rsidRDefault="00D06395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7A5865" w14:textId="77777777" w:rsidR="00D06395" w:rsidRDefault="00D06395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9DF07B" w14:textId="77777777" w:rsidR="00D06395" w:rsidRDefault="00D06395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1F9E11" w14:textId="77777777" w:rsidR="00D06395" w:rsidRDefault="00D06395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FF9D8F" w14:textId="77777777" w:rsidR="00D06395" w:rsidRDefault="00D06395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4C5750" w14:textId="77777777" w:rsidR="00D06395" w:rsidRDefault="00D06395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D06395" w14:paraId="0A8147A6" w14:textId="77777777" w:rsidTr="00D06395">
        <w:tc>
          <w:tcPr>
            <w:tcW w:w="8640" w:type="dxa"/>
            <w:vAlign w:val="center"/>
            <w:hideMark/>
          </w:tcPr>
          <w:p w14:paraId="2E0ED9B5" w14:textId="77777777" w:rsidR="00D06395" w:rsidRDefault="00D06395">
            <w:pPr>
              <w:pStyle w:val="bmdsTblBody"/>
            </w:pPr>
            <w:r>
              <w:t>Urea Nitrogen (mg/dL)</w:t>
            </w:r>
          </w:p>
        </w:tc>
        <w:tc>
          <w:tcPr>
            <w:tcW w:w="3528" w:type="dxa"/>
            <w:vAlign w:val="center"/>
            <w:hideMark/>
          </w:tcPr>
          <w:p w14:paraId="0AC2CBF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16.6 ± 0.7*</w:t>
            </w:r>
          </w:p>
        </w:tc>
        <w:tc>
          <w:tcPr>
            <w:tcW w:w="3528" w:type="dxa"/>
            <w:vAlign w:val="center"/>
            <w:hideMark/>
          </w:tcPr>
          <w:p w14:paraId="6E17D36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16.4 ± 0.5</w:t>
            </w:r>
          </w:p>
        </w:tc>
        <w:tc>
          <w:tcPr>
            <w:tcW w:w="3528" w:type="dxa"/>
            <w:vAlign w:val="center"/>
            <w:hideMark/>
          </w:tcPr>
          <w:p w14:paraId="2316800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15.2 ± 0.8</w:t>
            </w:r>
          </w:p>
        </w:tc>
        <w:tc>
          <w:tcPr>
            <w:tcW w:w="3528" w:type="dxa"/>
            <w:vAlign w:val="center"/>
            <w:hideMark/>
          </w:tcPr>
          <w:p w14:paraId="313B0DA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17.6 ± 0.9</w:t>
            </w:r>
          </w:p>
        </w:tc>
        <w:tc>
          <w:tcPr>
            <w:tcW w:w="3528" w:type="dxa"/>
            <w:vAlign w:val="center"/>
            <w:hideMark/>
          </w:tcPr>
          <w:p w14:paraId="41866E9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16.6 ± 1.0</w:t>
            </w:r>
          </w:p>
        </w:tc>
        <w:tc>
          <w:tcPr>
            <w:tcW w:w="3528" w:type="dxa"/>
            <w:vAlign w:val="center"/>
            <w:hideMark/>
          </w:tcPr>
          <w:p w14:paraId="5D4E85C7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16.6 ± 0.2</w:t>
            </w:r>
          </w:p>
        </w:tc>
        <w:tc>
          <w:tcPr>
            <w:tcW w:w="3528" w:type="dxa"/>
            <w:vAlign w:val="center"/>
            <w:hideMark/>
          </w:tcPr>
          <w:p w14:paraId="286F1017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15.6 ± 1.0</w:t>
            </w:r>
          </w:p>
        </w:tc>
        <w:tc>
          <w:tcPr>
            <w:tcW w:w="3528" w:type="dxa"/>
            <w:vAlign w:val="center"/>
            <w:hideMark/>
          </w:tcPr>
          <w:p w14:paraId="47C9124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15.4 ± 0.7</w:t>
            </w:r>
          </w:p>
        </w:tc>
        <w:tc>
          <w:tcPr>
            <w:tcW w:w="3528" w:type="dxa"/>
            <w:vAlign w:val="center"/>
            <w:hideMark/>
          </w:tcPr>
          <w:p w14:paraId="07D00CE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14.6 ± 1.0</w:t>
            </w:r>
          </w:p>
        </w:tc>
        <w:tc>
          <w:tcPr>
            <w:tcW w:w="3528" w:type="dxa"/>
            <w:vAlign w:val="center"/>
            <w:hideMark/>
          </w:tcPr>
          <w:p w14:paraId="538C009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14.2 ± 0.8</w:t>
            </w:r>
          </w:p>
        </w:tc>
        <w:tc>
          <w:tcPr>
            <w:tcW w:w="720" w:type="dxa"/>
            <w:vAlign w:val="center"/>
            <w:hideMark/>
          </w:tcPr>
          <w:p w14:paraId="3CFE7DD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118.445</w:t>
            </w:r>
          </w:p>
        </w:tc>
        <w:tc>
          <w:tcPr>
            <w:tcW w:w="720" w:type="dxa"/>
            <w:vAlign w:val="center"/>
            <w:hideMark/>
          </w:tcPr>
          <w:p w14:paraId="0A2D64D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6.613</w:t>
            </w:r>
          </w:p>
        </w:tc>
      </w:tr>
      <w:tr w:rsidR="00D06395" w14:paraId="68F3E1C3" w14:textId="77777777" w:rsidTr="00D06395">
        <w:tc>
          <w:tcPr>
            <w:tcW w:w="8640" w:type="dxa"/>
            <w:vAlign w:val="center"/>
            <w:hideMark/>
          </w:tcPr>
          <w:p w14:paraId="1CA654BE" w14:textId="77777777" w:rsidR="00D06395" w:rsidRDefault="00D06395">
            <w:pPr>
              <w:pStyle w:val="bmdsTblBody"/>
            </w:pPr>
            <w:r>
              <w:t>Glucose (mg/dL)</w:t>
            </w:r>
          </w:p>
        </w:tc>
        <w:tc>
          <w:tcPr>
            <w:tcW w:w="3528" w:type="dxa"/>
            <w:vAlign w:val="center"/>
            <w:hideMark/>
          </w:tcPr>
          <w:p w14:paraId="340DC1A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235.2 ± 14.7*</w:t>
            </w:r>
          </w:p>
        </w:tc>
        <w:tc>
          <w:tcPr>
            <w:tcW w:w="3528" w:type="dxa"/>
            <w:vAlign w:val="center"/>
            <w:hideMark/>
          </w:tcPr>
          <w:p w14:paraId="0ECB328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218.6 ± 25.6</w:t>
            </w:r>
          </w:p>
        </w:tc>
        <w:tc>
          <w:tcPr>
            <w:tcW w:w="3528" w:type="dxa"/>
            <w:vAlign w:val="center"/>
            <w:hideMark/>
          </w:tcPr>
          <w:p w14:paraId="245F5A56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239.4 ± 15.0</w:t>
            </w:r>
          </w:p>
        </w:tc>
        <w:tc>
          <w:tcPr>
            <w:tcW w:w="3528" w:type="dxa"/>
            <w:vAlign w:val="center"/>
            <w:hideMark/>
          </w:tcPr>
          <w:p w14:paraId="79196C8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236.8 ± 7.7</w:t>
            </w:r>
          </w:p>
        </w:tc>
        <w:tc>
          <w:tcPr>
            <w:tcW w:w="3528" w:type="dxa"/>
            <w:vAlign w:val="center"/>
            <w:hideMark/>
          </w:tcPr>
          <w:p w14:paraId="5F658EB2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215.6 ± 8.6</w:t>
            </w:r>
          </w:p>
        </w:tc>
        <w:tc>
          <w:tcPr>
            <w:tcW w:w="3528" w:type="dxa"/>
            <w:vAlign w:val="center"/>
            <w:hideMark/>
          </w:tcPr>
          <w:p w14:paraId="5620351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211.0 ± 2.1</w:t>
            </w:r>
          </w:p>
        </w:tc>
        <w:tc>
          <w:tcPr>
            <w:tcW w:w="3528" w:type="dxa"/>
            <w:vAlign w:val="center"/>
            <w:hideMark/>
          </w:tcPr>
          <w:p w14:paraId="2CA1281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197.0 ± 17.3</w:t>
            </w:r>
          </w:p>
        </w:tc>
        <w:tc>
          <w:tcPr>
            <w:tcW w:w="3528" w:type="dxa"/>
            <w:vAlign w:val="center"/>
            <w:hideMark/>
          </w:tcPr>
          <w:p w14:paraId="3D8CD74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199.6 ± 10.6</w:t>
            </w:r>
          </w:p>
        </w:tc>
        <w:tc>
          <w:tcPr>
            <w:tcW w:w="3528" w:type="dxa"/>
            <w:vAlign w:val="center"/>
            <w:hideMark/>
          </w:tcPr>
          <w:p w14:paraId="5F2C54A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227.4 ± 22.1</w:t>
            </w:r>
          </w:p>
        </w:tc>
        <w:tc>
          <w:tcPr>
            <w:tcW w:w="3528" w:type="dxa"/>
            <w:vAlign w:val="center"/>
            <w:hideMark/>
          </w:tcPr>
          <w:p w14:paraId="42B76C0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203.0 ± 13.6</w:t>
            </w:r>
          </w:p>
        </w:tc>
        <w:tc>
          <w:tcPr>
            <w:tcW w:w="720" w:type="dxa"/>
            <w:vAlign w:val="center"/>
            <w:hideMark/>
          </w:tcPr>
          <w:p w14:paraId="11B8CDB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79B9D38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06395" w14:paraId="024C2568" w14:textId="77777777" w:rsidTr="00D06395">
        <w:tc>
          <w:tcPr>
            <w:tcW w:w="8640" w:type="dxa"/>
            <w:vAlign w:val="center"/>
            <w:hideMark/>
          </w:tcPr>
          <w:p w14:paraId="6F28F73D" w14:textId="77777777" w:rsidR="00D06395" w:rsidRDefault="00D06395">
            <w:pPr>
              <w:pStyle w:val="bmdsTblBody"/>
            </w:pPr>
            <w:r>
              <w:t>Alkaline phosphatase (IU/L)</w:t>
            </w:r>
          </w:p>
        </w:tc>
        <w:tc>
          <w:tcPr>
            <w:tcW w:w="3528" w:type="dxa"/>
            <w:vAlign w:val="center"/>
            <w:hideMark/>
          </w:tcPr>
          <w:p w14:paraId="11A1D39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200.1 ± 9.7**</w:t>
            </w:r>
          </w:p>
        </w:tc>
        <w:tc>
          <w:tcPr>
            <w:tcW w:w="3528" w:type="dxa"/>
            <w:vAlign w:val="center"/>
            <w:hideMark/>
          </w:tcPr>
          <w:p w14:paraId="083F78E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195.6 ± 10.5</w:t>
            </w:r>
          </w:p>
        </w:tc>
        <w:tc>
          <w:tcPr>
            <w:tcW w:w="3528" w:type="dxa"/>
            <w:vAlign w:val="center"/>
            <w:hideMark/>
          </w:tcPr>
          <w:p w14:paraId="060E64C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176.8 ± 8.3</w:t>
            </w:r>
          </w:p>
        </w:tc>
        <w:tc>
          <w:tcPr>
            <w:tcW w:w="3528" w:type="dxa"/>
            <w:vAlign w:val="center"/>
            <w:hideMark/>
          </w:tcPr>
          <w:p w14:paraId="713DE45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191.4 ± 13.6</w:t>
            </w:r>
          </w:p>
        </w:tc>
        <w:tc>
          <w:tcPr>
            <w:tcW w:w="3528" w:type="dxa"/>
            <w:vAlign w:val="center"/>
            <w:hideMark/>
          </w:tcPr>
          <w:p w14:paraId="6E6EA01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207.0 ± 17.8</w:t>
            </w:r>
          </w:p>
        </w:tc>
        <w:tc>
          <w:tcPr>
            <w:tcW w:w="3528" w:type="dxa"/>
            <w:vAlign w:val="center"/>
            <w:hideMark/>
          </w:tcPr>
          <w:p w14:paraId="2500B08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210.2 ± 9.6</w:t>
            </w:r>
          </w:p>
        </w:tc>
        <w:tc>
          <w:tcPr>
            <w:tcW w:w="3528" w:type="dxa"/>
            <w:vAlign w:val="center"/>
            <w:hideMark/>
          </w:tcPr>
          <w:p w14:paraId="268115F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235.4 ± 3.8</w:t>
            </w:r>
          </w:p>
        </w:tc>
        <w:tc>
          <w:tcPr>
            <w:tcW w:w="3528" w:type="dxa"/>
            <w:vAlign w:val="center"/>
            <w:hideMark/>
          </w:tcPr>
          <w:p w14:paraId="4134864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234.2 ± 6.4</w:t>
            </w:r>
          </w:p>
        </w:tc>
        <w:tc>
          <w:tcPr>
            <w:tcW w:w="3528" w:type="dxa"/>
            <w:vAlign w:val="center"/>
            <w:hideMark/>
          </w:tcPr>
          <w:p w14:paraId="17108B65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235.6 ± 14.2</w:t>
            </w:r>
          </w:p>
        </w:tc>
        <w:tc>
          <w:tcPr>
            <w:tcW w:w="3528" w:type="dxa"/>
            <w:vAlign w:val="center"/>
            <w:hideMark/>
          </w:tcPr>
          <w:p w14:paraId="70C0523E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247.8 ± 8.0**</w:t>
            </w:r>
          </w:p>
        </w:tc>
        <w:tc>
          <w:tcPr>
            <w:tcW w:w="720" w:type="dxa"/>
            <w:vAlign w:val="center"/>
            <w:hideMark/>
          </w:tcPr>
          <w:p w14:paraId="1D200957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6.461</w:t>
            </w:r>
          </w:p>
        </w:tc>
        <w:tc>
          <w:tcPr>
            <w:tcW w:w="720" w:type="dxa"/>
            <w:vAlign w:val="center"/>
            <w:hideMark/>
          </w:tcPr>
          <w:p w14:paraId="711308F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6.003</w:t>
            </w:r>
          </w:p>
        </w:tc>
      </w:tr>
      <w:tr w:rsidR="00D06395" w14:paraId="0262A5D1" w14:textId="77777777" w:rsidTr="00D06395">
        <w:tc>
          <w:tcPr>
            <w:tcW w:w="8640" w:type="dxa"/>
            <w:vAlign w:val="center"/>
            <w:hideMark/>
          </w:tcPr>
          <w:p w14:paraId="3E43BE74" w14:textId="77777777" w:rsidR="00D06395" w:rsidRDefault="00D06395">
            <w:pPr>
              <w:pStyle w:val="bmdsTblBody"/>
            </w:pPr>
            <w:r>
              <w:t>Aspartate Aminotransferase (U/L)</w:t>
            </w:r>
          </w:p>
        </w:tc>
        <w:tc>
          <w:tcPr>
            <w:tcW w:w="3528" w:type="dxa"/>
            <w:vAlign w:val="center"/>
            <w:hideMark/>
          </w:tcPr>
          <w:p w14:paraId="47EE406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78.50 ± 2.13*</w:t>
            </w:r>
          </w:p>
        </w:tc>
        <w:tc>
          <w:tcPr>
            <w:tcW w:w="3528" w:type="dxa"/>
            <w:vAlign w:val="center"/>
            <w:hideMark/>
          </w:tcPr>
          <w:p w14:paraId="1A29C594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81.40 ± 4.21</w:t>
            </w:r>
          </w:p>
        </w:tc>
        <w:tc>
          <w:tcPr>
            <w:tcW w:w="3528" w:type="dxa"/>
            <w:vAlign w:val="center"/>
            <w:hideMark/>
          </w:tcPr>
          <w:p w14:paraId="4F8D728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79.40 ± 2.25</w:t>
            </w:r>
          </w:p>
        </w:tc>
        <w:tc>
          <w:tcPr>
            <w:tcW w:w="3528" w:type="dxa"/>
            <w:vAlign w:val="center"/>
            <w:hideMark/>
          </w:tcPr>
          <w:p w14:paraId="007005A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84.00 ± 5.55</w:t>
            </w:r>
          </w:p>
        </w:tc>
        <w:tc>
          <w:tcPr>
            <w:tcW w:w="3528" w:type="dxa"/>
            <w:vAlign w:val="center"/>
            <w:hideMark/>
          </w:tcPr>
          <w:p w14:paraId="6496AD1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80.80 ± 1.66</w:t>
            </w:r>
          </w:p>
        </w:tc>
        <w:tc>
          <w:tcPr>
            <w:tcW w:w="3528" w:type="dxa"/>
            <w:vAlign w:val="center"/>
            <w:hideMark/>
          </w:tcPr>
          <w:p w14:paraId="037C27A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75.80 ± 1.53</w:t>
            </w:r>
          </w:p>
        </w:tc>
        <w:tc>
          <w:tcPr>
            <w:tcW w:w="3528" w:type="dxa"/>
            <w:vAlign w:val="center"/>
            <w:hideMark/>
          </w:tcPr>
          <w:p w14:paraId="4D08EE4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77.40 ± 1.66</w:t>
            </w:r>
          </w:p>
        </w:tc>
        <w:tc>
          <w:tcPr>
            <w:tcW w:w="3528" w:type="dxa"/>
            <w:vAlign w:val="center"/>
            <w:hideMark/>
          </w:tcPr>
          <w:p w14:paraId="6AA9183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92.80 ± 3.29*</w:t>
            </w:r>
          </w:p>
        </w:tc>
        <w:tc>
          <w:tcPr>
            <w:tcW w:w="3528" w:type="dxa"/>
            <w:vAlign w:val="center"/>
            <w:hideMark/>
          </w:tcPr>
          <w:p w14:paraId="7413DA30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89.20 ± 3.15</w:t>
            </w:r>
          </w:p>
        </w:tc>
        <w:tc>
          <w:tcPr>
            <w:tcW w:w="3528" w:type="dxa"/>
            <w:vAlign w:val="center"/>
            <w:hideMark/>
          </w:tcPr>
          <w:p w14:paraId="38A65135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82.60 ± 0.60</w:t>
            </w:r>
          </w:p>
        </w:tc>
        <w:tc>
          <w:tcPr>
            <w:tcW w:w="720" w:type="dxa"/>
            <w:vAlign w:val="center"/>
            <w:hideMark/>
          </w:tcPr>
          <w:p w14:paraId="5F863C23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3BBDFB6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06395" w14:paraId="3DD0FAE2" w14:textId="77777777" w:rsidTr="00D06395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7FFF05" w14:textId="77777777" w:rsidR="00D06395" w:rsidRDefault="00D06395">
            <w:pPr>
              <w:pStyle w:val="bmdsTblBody"/>
            </w:pPr>
            <w:r>
              <w:t>Sorbitol dehydrogenase (IU/L)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67303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12.9 ± 0.9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B1B72C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17.3 ± 0.6*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CD033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16.5 ± 0.3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01A5A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15.2 ± 1.6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3CF2DA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16.0 ± 0.4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3D605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14.5 ± 0.4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A61749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15.4 ± 0.8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D84D5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19.0 ± 2.3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1D071D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15.7 ± 0.9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EA68F98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19.1 ± 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DF8C91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20790F" w14:textId="77777777" w:rsidR="00D06395" w:rsidRDefault="00D06395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1535800E" w14:textId="77777777" w:rsidR="00D06395" w:rsidRDefault="00D06395" w:rsidP="00D06395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407E454B" w14:textId="77777777" w:rsidR="00D06395" w:rsidRDefault="00D06395" w:rsidP="00D06395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Jonckheere (trend) and Shirley or Dunn (pairwise) tests.</w:t>
      </w:r>
    </w:p>
    <w:p w14:paraId="47352E87" w14:textId="77777777" w:rsidR="00D06395" w:rsidRDefault="00D06395" w:rsidP="00D06395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5E46DA8A" w14:textId="77777777" w:rsidR="00D06395" w:rsidRDefault="00D06395" w:rsidP="00D06395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5F3AD6BE" w14:textId="77777777" w:rsidR="00D06395" w:rsidRDefault="00D06395" w:rsidP="00D06395">
      <w:pPr>
        <w:pStyle w:val="bmdsTblFootnote"/>
      </w:pPr>
      <w:r>
        <w:rPr>
          <w:sz w:val="16"/>
        </w:rPr>
        <w:t>* Statistically significant at p ≤ 0.05</w:t>
      </w:r>
    </w:p>
    <w:p w14:paraId="6F4D2577" w14:textId="77777777" w:rsidR="00D06395" w:rsidRDefault="00D06395" w:rsidP="00D06395">
      <w:pPr>
        <w:pStyle w:val="bmdsTblFootnote"/>
      </w:pPr>
      <w:r>
        <w:rPr>
          <w:sz w:val="16"/>
        </w:rPr>
        <w:t>** Statistically significant at p ≤ 0.01</w:t>
      </w:r>
    </w:p>
    <w:p w14:paraId="7DA33C64" w14:textId="77777777" w:rsidR="00D06395" w:rsidRDefault="00D06395" w:rsidP="00D06395">
      <w:pPr>
        <w:pStyle w:val="bmdsTblFootnote"/>
      </w:pPr>
      <w:r>
        <w:rPr>
          <w:sz w:val="16"/>
        </w:rPr>
        <w:t>One value for Alkaline Phosphatase in the male 2 mg/kg group was excluded due to an analysis problem.</w:t>
      </w:r>
    </w:p>
    <w:p w14:paraId="7A50B366" w14:textId="77777777" w:rsidR="00D06395" w:rsidRDefault="00D06395" w:rsidP="00D06395">
      <w:pPr>
        <w:pStyle w:val="bmdsTblFootnote"/>
      </w:pPr>
      <w:r>
        <w:rPr>
          <w:sz w:val="16"/>
        </w:rPr>
        <w:t>BMD</w:t>
      </w:r>
      <w:r>
        <w:rPr>
          <w:sz w:val="16"/>
          <w:vertAlign w:val="subscript"/>
        </w:rPr>
        <w:t>1Std</w:t>
      </w:r>
      <w:r>
        <w:rPr>
          <w:sz w:val="16"/>
        </w:rPr>
        <w:t xml:space="preserve"> and BMDL</w:t>
      </w:r>
      <w:r>
        <w:rPr>
          <w:sz w:val="16"/>
          <w:vertAlign w:val="subscript"/>
        </w:rPr>
        <w:t>1Std</w:t>
      </w:r>
      <w:r>
        <w:rPr>
          <w:sz w:val="16"/>
        </w:rPr>
        <w:t>: Benchmark response (BMR) set at 1 standard deviation from the mean.</w:t>
      </w:r>
    </w:p>
    <w:p w14:paraId="04FF3FA0" w14:textId="77777777" w:rsidR="00D06395" w:rsidRDefault="00D06395" w:rsidP="00D06395">
      <w:pPr>
        <w:pStyle w:val="bmdsTblFootnote"/>
      </w:pPr>
      <w:r>
        <w:rPr>
          <w:sz w:val="16"/>
        </w:rPr>
        <w:t>NVM = no viable model</w:t>
      </w:r>
    </w:p>
    <w:p w14:paraId="75AD656C" w14:textId="77777777" w:rsidR="00C505B6" w:rsidRDefault="00D06395"/>
    <w:sectPr w:rsidR="00C505B6" w:rsidSect="00D06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E6"/>
    <w:rsid w:val="001809E6"/>
    <w:rsid w:val="0021102E"/>
    <w:rsid w:val="00D06395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3AD9-B524-494F-A169-BA92E146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95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95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06395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D06395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D06395"/>
  </w:style>
  <w:style w:type="paragraph" w:customStyle="1" w:styleId="bmdsTblHeader">
    <w:name w:val="bmdsTblHeader"/>
    <w:basedOn w:val="bmdsTblBody"/>
    <w:qFormat/>
    <w:rsid w:val="00D063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2021-05-25T22:01:00Z</dcterms:created>
  <dcterms:modified xsi:type="dcterms:W3CDTF">2021-05-25T22:01:00Z</dcterms:modified>
</cp:coreProperties>
</file>