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3BD0F" w14:textId="77777777" w:rsidR="00641A09" w:rsidRDefault="00641A09" w:rsidP="00641A09">
      <w:pPr>
        <w:pStyle w:val="Heading3"/>
      </w:pPr>
      <w:r>
        <w:t>Male Kidney Combined Three-dimensional Principle Components Analysis (PCA)</w:t>
      </w:r>
    </w:p>
    <w:p w14:paraId="2C68A871" w14:textId="19F0B019" w:rsidR="00641A09" w:rsidRDefault="00641A09" w:rsidP="00641A09">
      <w:r>
        <w:rPr>
          <w:noProof/>
        </w:rPr>
        <w:drawing>
          <wp:inline distT="0" distB="0" distL="0" distR="0" wp14:anchorId="6EA22B86" wp14:editId="50378715">
            <wp:extent cx="6858000" cy="457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2AF2C" w14:textId="77777777" w:rsidR="00641A09" w:rsidRDefault="00641A09" w:rsidP="00641A09"/>
    <w:p w14:paraId="55D706B2" w14:textId="77777777" w:rsidR="00641A09" w:rsidRDefault="00641A09" w:rsidP="00641A09">
      <w:pPr>
        <w:pStyle w:val="Heading3"/>
      </w:pPr>
      <w:r>
        <w:lastRenderedPageBreak/>
        <w:t>Female Kidney Combined Three-dimensional Principle Components Analysis (PCA)</w:t>
      </w:r>
    </w:p>
    <w:p w14:paraId="3528C118" w14:textId="4B64E2FF" w:rsidR="00641A09" w:rsidRDefault="00641A09" w:rsidP="00641A09">
      <w:r>
        <w:rPr>
          <w:noProof/>
        </w:rPr>
        <w:drawing>
          <wp:inline distT="0" distB="0" distL="0" distR="0" wp14:anchorId="5E6CB049" wp14:editId="0CC16455">
            <wp:extent cx="6858000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474CE" w14:textId="77777777" w:rsidR="00641A09" w:rsidRDefault="00641A09" w:rsidP="00641A09"/>
    <w:p w14:paraId="04F20E52" w14:textId="77777777" w:rsidR="00C505B6" w:rsidRDefault="00641A09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60"/>
    <w:rsid w:val="001B3360"/>
    <w:rsid w:val="0021102E"/>
    <w:rsid w:val="00641A09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3795FB-294C-4970-952E-59F8715E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A09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641A09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2021-05-26T07:31:00Z</dcterms:created>
  <dcterms:modified xsi:type="dcterms:W3CDTF">2021-05-26T07:32:00Z</dcterms:modified>
</cp:coreProperties>
</file>