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42F2" w14:textId="77777777" w:rsidR="00A95A51" w:rsidRDefault="00A95A51" w:rsidP="00A95A51">
      <w:r>
        <w:t>Solubility Testing Procedure:</w:t>
      </w:r>
    </w:p>
    <w:p w14:paraId="5AE628C3" w14:textId="77777777" w:rsidR="00A95A51" w:rsidRDefault="00A95A51" w:rsidP="00A95A51">
      <w:r>
        <w:t xml:space="preserve">Solubility testing was performed by adding 500 </w:t>
      </w:r>
      <w:r>
        <w:rPr>
          <w:rFonts w:cstheme="minorHAnsi"/>
        </w:rPr>
        <w:t>µ</w:t>
      </w:r>
      <w:r>
        <w:t>L of solvent to 250 mg of extract, mixing by vortex and sonication, and then adding additional solvent. At regular intervals, the sample is centrifuged, the supernatant is removed, and the pellet is weighed.  This process is repeated until the pellet is dissolved completely, or until the pellet reaches constant weight. If the pellet remains, it is then dried to constant weight, and that information is used to adjust the final solubility.</w:t>
      </w:r>
    </w:p>
    <w:p w14:paraId="4AB69B94" w14:textId="77777777" w:rsidR="00A95A51" w:rsidRDefault="00A95A51" w:rsidP="00A95A51">
      <w:r>
        <w:t>Solutions are refrigerated overnight and then brought back to room temperature. If the material is no longer fully in solution, the vial is sonicated for up to 15 minutes to attempt to re-solubilize the material.</w:t>
      </w:r>
    </w:p>
    <w:p w14:paraId="5A7B5554" w14:textId="77777777" w:rsidR="003B5264" w:rsidRDefault="003B5264" w:rsidP="003B5264"/>
    <w:tbl>
      <w:tblPr>
        <w:tblStyle w:val="TableGrid"/>
        <w:tblW w:w="4446" w:type="pct"/>
        <w:tblLook w:val="04A0" w:firstRow="1" w:lastRow="0" w:firstColumn="1" w:lastColumn="0" w:noHBand="0" w:noVBand="1"/>
      </w:tblPr>
      <w:tblGrid>
        <w:gridCol w:w="1469"/>
        <w:gridCol w:w="1667"/>
        <w:gridCol w:w="1309"/>
        <w:gridCol w:w="2660"/>
        <w:gridCol w:w="4410"/>
      </w:tblGrid>
      <w:tr w:rsidR="002A7733" w14:paraId="0E62AAC3" w14:textId="77777777" w:rsidTr="002A7733">
        <w:trPr>
          <w:cantSplit/>
          <w:tblHeader/>
        </w:trPr>
        <w:tc>
          <w:tcPr>
            <w:tcW w:w="638" w:type="pct"/>
            <w:vAlign w:val="center"/>
          </w:tcPr>
          <w:p w14:paraId="48856C2E" w14:textId="77777777" w:rsidR="002A7733" w:rsidRPr="00FB5291" w:rsidRDefault="002A7733" w:rsidP="00C53911">
            <w:pPr>
              <w:jc w:val="center"/>
              <w:rPr>
                <w:b/>
              </w:rPr>
            </w:pPr>
            <w:r w:rsidRPr="00FB5291">
              <w:rPr>
                <w:b/>
              </w:rPr>
              <w:t>Botanical Extract</w:t>
            </w:r>
          </w:p>
        </w:tc>
        <w:tc>
          <w:tcPr>
            <w:tcW w:w="724" w:type="pct"/>
            <w:vAlign w:val="center"/>
          </w:tcPr>
          <w:p w14:paraId="4193F36F" w14:textId="77777777" w:rsidR="002A7733" w:rsidRPr="00FB5291" w:rsidRDefault="002A7733" w:rsidP="00C53911">
            <w:pPr>
              <w:jc w:val="center"/>
              <w:rPr>
                <w:b/>
              </w:rPr>
            </w:pPr>
            <w:r>
              <w:rPr>
                <w:b/>
              </w:rPr>
              <w:t xml:space="preserve">95% </w:t>
            </w:r>
            <w:r w:rsidRPr="00FB5291">
              <w:rPr>
                <w:b/>
              </w:rPr>
              <w:t>Ethanol solubility (</w:t>
            </w:r>
            <w:r>
              <w:rPr>
                <w:b/>
              </w:rPr>
              <w:t>~ </w:t>
            </w:r>
            <w:r w:rsidRPr="00FB5291">
              <w:rPr>
                <w:b/>
              </w:rPr>
              <w:t>mg/mL)</w:t>
            </w:r>
          </w:p>
        </w:tc>
        <w:tc>
          <w:tcPr>
            <w:tcW w:w="568" w:type="pct"/>
            <w:vAlign w:val="center"/>
          </w:tcPr>
          <w:p w14:paraId="63EEB12E" w14:textId="77777777" w:rsidR="002A7733" w:rsidRPr="00FB5291" w:rsidRDefault="002A7733" w:rsidP="00D859C2">
            <w:pPr>
              <w:jc w:val="center"/>
              <w:rPr>
                <w:b/>
              </w:rPr>
            </w:pPr>
            <w:r>
              <w:rPr>
                <w:b/>
              </w:rPr>
              <w:t>Mixing protocol*</w:t>
            </w:r>
          </w:p>
        </w:tc>
        <w:tc>
          <w:tcPr>
            <w:tcW w:w="1155" w:type="pct"/>
            <w:vAlign w:val="center"/>
          </w:tcPr>
          <w:p w14:paraId="571012F7" w14:textId="77777777" w:rsidR="002A7733" w:rsidRPr="00FB5291" w:rsidRDefault="002A7733" w:rsidP="00C53911">
            <w:pPr>
              <w:jc w:val="center"/>
              <w:rPr>
                <w:b/>
              </w:rPr>
            </w:pPr>
            <w:r w:rsidRPr="00FB5291">
              <w:rPr>
                <w:b/>
              </w:rPr>
              <w:t>Sonication time required after Refrigeration</w:t>
            </w:r>
            <w:r>
              <w:rPr>
                <w:b/>
              </w:rPr>
              <w:t>**</w:t>
            </w:r>
            <w:r w:rsidRPr="00FB5291">
              <w:rPr>
                <w:b/>
              </w:rPr>
              <w:t xml:space="preserve"> (min)</w:t>
            </w:r>
          </w:p>
        </w:tc>
        <w:tc>
          <w:tcPr>
            <w:tcW w:w="1915" w:type="pct"/>
            <w:vAlign w:val="center"/>
          </w:tcPr>
          <w:p w14:paraId="1EB48518" w14:textId="77777777" w:rsidR="002A7733" w:rsidRPr="00FB5291" w:rsidRDefault="002A7733" w:rsidP="00C53911">
            <w:pPr>
              <w:jc w:val="center"/>
              <w:rPr>
                <w:b/>
              </w:rPr>
            </w:pPr>
            <w:r>
              <w:rPr>
                <w:b/>
              </w:rPr>
              <w:t>Comments</w:t>
            </w:r>
          </w:p>
        </w:tc>
      </w:tr>
      <w:tr w:rsidR="002A7733" w14:paraId="426B7E7E" w14:textId="77777777" w:rsidTr="002A7733">
        <w:trPr>
          <w:cantSplit/>
        </w:trPr>
        <w:tc>
          <w:tcPr>
            <w:tcW w:w="638" w:type="pct"/>
            <w:vAlign w:val="center"/>
          </w:tcPr>
          <w:p w14:paraId="7A3DA16D" w14:textId="77777777" w:rsidR="002A7733" w:rsidRDefault="002A7733" w:rsidP="00C53911">
            <w:pPr>
              <w:jc w:val="center"/>
            </w:pPr>
            <w:r>
              <w:t>Ephedra</w:t>
            </w:r>
          </w:p>
        </w:tc>
        <w:tc>
          <w:tcPr>
            <w:tcW w:w="724" w:type="pct"/>
            <w:vAlign w:val="center"/>
          </w:tcPr>
          <w:p w14:paraId="2966C158" w14:textId="77777777" w:rsidR="002A7733" w:rsidRDefault="002A7733" w:rsidP="00C53911">
            <w:pPr>
              <w:jc w:val="center"/>
            </w:pPr>
            <w:r>
              <w:t>15</w:t>
            </w:r>
          </w:p>
        </w:tc>
        <w:tc>
          <w:tcPr>
            <w:tcW w:w="568" w:type="pct"/>
            <w:vAlign w:val="center"/>
          </w:tcPr>
          <w:p w14:paraId="6614126D" w14:textId="77777777" w:rsidR="002A7733" w:rsidRDefault="002A7733" w:rsidP="00D859C2">
            <w:pPr>
              <w:jc w:val="center"/>
            </w:pPr>
            <w:r>
              <w:t>Vortex Sonicate</w:t>
            </w:r>
          </w:p>
        </w:tc>
        <w:tc>
          <w:tcPr>
            <w:tcW w:w="1155" w:type="pct"/>
            <w:vAlign w:val="center"/>
          </w:tcPr>
          <w:p w14:paraId="2B13C80D" w14:textId="77777777" w:rsidR="002A7733" w:rsidRDefault="002A7733" w:rsidP="00C53911">
            <w:pPr>
              <w:jc w:val="center"/>
            </w:pPr>
            <w:r>
              <w:t>10</w:t>
            </w:r>
          </w:p>
        </w:tc>
        <w:tc>
          <w:tcPr>
            <w:tcW w:w="1915" w:type="pct"/>
            <w:vAlign w:val="center"/>
          </w:tcPr>
          <w:p w14:paraId="30EE5624" w14:textId="77777777" w:rsidR="002A7733" w:rsidRDefault="002A7733" w:rsidP="00C53911">
            <w:pPr>
              <w:jc w:val="center"/>
            </w:pPr>
          </w:p>
        </w:tc>
      </w:tr>
      <w:tr w:rsidR="002A7733" w14:paraId="409BEE70" w14:textId="77777777" w:rsidTr="002A7733">
        <w:trPr>
          <w:cantSplit/>
        </w:trPr>
        <w:tc>
          <w:tcPr>
            <w:tcW w:w="638" w:type="pct"/>
            <w:vAlign w:val="center"/>
          </w:tcPr>
          <w:p w14:paraId="30E07254" w14:textId="77777777" w:rsidR="002A7733" w:rsidRDefault="002A7733" w:rsidP="00C53911">
            <w:pPr>
              <w:jc w:val="center"/>
            </w:pPr>
            <w:r>
              <w:t>Yohimbe</w:t>
            </w:r>
          </w:p>
        </w:tc>
        <w:tc>
          <w:tcPr>
            <w:tcW w:w="724" w:type="pct"/>
            <w:vAlign w:val="center"/>
          </w:tcPr>
          <w:p w14:paraId="2D8ED017" w14:textId="77777777" w:rsidR="002A7733" w:rsidRDefault="002A7733" w:rsidP="00C53911">
            <w:pPr>
              <w:jc w:val="center"/>
            </w:pPr>
            <w:r>
              <w:t>19</w:t>
            </w:r>
          </w:p>
        </w:tc>
        <w:tc>
          <w:tcPr>
            <w:tcW w:w="568" w:type="pct"/>
            <w:vAlign w:val="center"/>
          </w:tcPr>
          <w:p w14:paraId="5AD1D872" w14:textId="77777777" w:rsidR="002A7733" w:rsidRDefault="002A7733" w:rsidP="00D859C2">
            <w:pPr>
              <w:jc w:val="center"/>
            </w:pPr>
            <w:r>
              <w:t>Vortex Sonicate</w:t>
            </w:r>
          </w:p>
        </w:tc>
        <w:tc>
          <w:tcPr>
            <w:tcW w:w="1155" w:type="pct"/>
            <w:vAlign w:val="center"/>
          </w:tcPr>
          <w:p w14:paraId="3F69824D" w14:textId="77777777" w:rsidR="002A7733" w:rsidRDefault="002A7733" w:rsidP="00C53911">
            <w:pPr>
              <w:jc w:val="center"/>
            </w:pPr>
            <w:r>
              <w:t>5</w:t>
            </w:r>
          </w:p>
        </w:tc>
        <w:tc>
          <w:tcPr>
            <w:tcW w:w="1915" w:type="pct"/>
            <w:vAlign w:val="center"/>
          </w:tcPr>
          <w:p w14:paraId="4DB8AB99" w14:textId="77777777" w:rsidR="002A7733" w:rsidRDefault="002A7733" w:rsidP="00C53911">
            <w:pPr>
              <w:jc w:val="center"/>
            </w:pPr>
          </w:p>
        </w:tc>
      </w:tr>
      <w:tr w:rsidR="002A7733" w14:paraId="5E0C9952" w14:textId="77777777" w:rsidTr="002A7733">
        <w:trPr>
          <w:cantSplit/>
        </w:trPr>
        <w:tc>
          <w:tcPr>
            <w:tcW w:w="638" w:type="pct"/>
            <w:vAlign w:val="center"/>
          </w:tcPr>
          <w:p w14:paraId="39172112" w14:textId="77777777" w:rsidR="002A7733" w:rsidRDefault="002A7733" w:rsidP="00C53911">
            <w:pPr>
              <w:jc w:val="center"/>
            </w:pPr>
            <w:r>
              <w:t>Kratom</w:t>
            </w:r>
          </w:p>
        </w:tc>
        <w:tc>
          <w:tcPr>
            <w:tcW w:w="724" w:type="pct"/>
            <w:vAlign w:val="center"/>
          </w:tcPr>
          <w:p w14:paraId="475C75F9" w14:textId="77777777" w:rsidR="002A7733" w:rsidRDefault="002A7733" w:rsidP="00C53911">
            <w:pPr>
              <w:jc w:val="center"/>
            </w:pPr>
            <w:r>
              <w:t>17</w:t>
            </w:r>
          </w:p>
        </w:tc>
        <w:tc>
          <w:tcPr>
            <w:tcW w:w="568" w:type="pct"/>
            <w:vAlign w:val="center"/>
          </w:tcPr>
          <w:p w14:paraId="4126A168" w14:textId="77777777" w:rsidR="002A7733" w:rsidRDefault="002A7733" w:rsidP="00D859C2">
            <w:pPr>
              <w:jc w:val="center"/>
            </w:pPr>
            <w:r>
              <w:t>Vortex Sonicate</w:t>
            </w:r>
          </w:p>
        </w:tc>
        <w:tc>
          <w:tcPr>
            <w:tcW w:w="1155" w:type="pct"/>
            <w:vAlign w:val="center"/>
          </w:tcPr>
          <w:p w14:paraId="020AE55B" w14:textId="77777777" w:rsidR="002A7733" w:rsidRDefault="002A7733" w:rsidP="00C53911">
            <w:pPr>
              <w:jc w:val="center"/>
            </w:pPr>
            <w:r>
              <w:t>5</w:t>
            </w:r>
          </w:p>
        </w:tc>
        <w:tc>
          <w:tcPr>
            <w:tcW w:w="1915" w:type="pct"/>
            <w:vAlign w:val="center"/>
          </w:tcPr>
          <w:p w14:paraId="770D8DFA" w14:textId="77777777" w:rsidR="002A7733" w:rsidRDefault="002A7733" w:rsidP="00C53911">
            <w:pPr>
              <w:jc w:val="center"/>
            </w:pPr>
          </w:p>
        </w:tc>
      </w:tr>
      <w:tr w:rsidR="002A7733" w14:paraId="40F2931B" w14:textId="77777777" w:rsidTr="002A7733">
        <w:trPr>
          <w:cantSplit/>
        </w:trPr>
        <w:tc>
          <w:tcPr>
            <w:tcW w:w="638" w:type="pct"/>
            <w:vAlign w:val="center"/>
          </w:tcPr>
          <w:p w14:paraId="2462C61E" w14:textId="77777777" w:rsidR="002A7733" w:rsidRDefault="002A7733" w:rsidP="00C53911">
            <w:pPr>
              <w:jc w:val="center"/>
            </w:pPr>
            <w:r>
              <w:t>Goldenseal</w:t>
            </w:r>
          </w:p>
        </w:tc>
        <w:tc>
          <w:tcPr>
            <w:tcW w:w="724" w:type="pct"/>
            <w:vAlign w:val="center"/>
          </w:tcPr>
          <w:p w14:paraId="7C5732E1" w14:textId="77777777" w:rsidR="002A7733" w:rsidRDefault="002A7733" w:rsidP="00C53911">
            <w:pPr>
              <w:jc w:val="center"/>
            </w:pPr>
            <w:r>
              <w:t>45.5</w:t>
            </w:r>
          </w:p>
        </w:tc>
        <w:tc>
          <w:tcPr>
            <w:tcW w:w="568" w:type="pct"/>
            <w:vAlign w:val="center"/>
          </w:tcPr>
          <w:p w14:paraId="3847D49B" w14:textId="77777777" w:rsidR="002A7733" w:rsidRDefault="002A7733" w:rsidP="00D859C2">
            <w:pPr>
              <w:jc w:val="center"/>
            </w:pPr>
            <w:r>
              <w:t>Vortex Sonicate</w:t>
            </w:r>
          </w:p>
        </w:tc>
        <w:tc>
          <w:tcPr>
            <w:tcW w:w="1155" w:type="pct"/>
            <w:vAlign w:val="center"/>
          </w:tcPr>
          <w:p w14:paraId="36B40352" w14:textId="77777777" w:rsidR="002A7733" w:rsidRDefault="002A7733" w:rsidP="00C53911">
            <w:pPr>
              <w:jc w:val="center"/>
            </w:pPr>
            <w:r>
              <w:t>0</w:t>
            </w:r>
          </w:p>
        </w:tc>
        <w:tc>
          <w:tcPr>
            <w:tcW w:w="1915" w:type="pct"/>
            <w:vAlign w:val="center"/>
          </w:tcPr>
          <w:p w14:paraId="32F01F6E" w14:textId="77777777" w:rsidR="002A7733" w:rsidRDefault="002A7733" w:rsidP="00C53911">
            <w:pPr>
              <w:jc w:val="center"/>
            </w:pPr>
          </w:p>
        </w:tc>
      </w:tr>
      <w:tr w:rsidR="002A7733" w14:paraId="54027887" w14:textId="77777777" w:rsidTr="002A7733">
        <w:trPr>
          <w:cantSplit/>
        </w:trPr>
        <w:tc>
          <w:tcPr>
            <w:tcW w:w="638" w:type="pct"/>
            <w:vAlign w:val="center"/>
          </w:tcPr>
          <w:p w14:paraId="35024BF9" w14:textId="77777777" w:rsidR="002A7733" w:rsidRDefault="002A7733" w:rsidP="00C53911">
            <w:pPr>
              <w:jc w:val="center"/>
            </w:pPr>
            <w:r>
              <w:t>Kava</w:t>
            </w:r>
          </w:p>
        </w:tc>
        <w:tc>
          <w:tcPr>
            <w:tcW w:w="724" w:type="pct"/>
            <w:vAlign w:val="center"/>
          </w:tcPr>
          <w:p w14:paraId="34296F24" w14:textId="77777777" w:rsidR="002A7733" w:rsidRDefault="002A7733" w:rsidP="00C53911">
            <w:pPr>
              <w:jc w:val="center"/>
            </w:pPr>
            <w:r>
              <w:t>59</w:t>
            </w:r>
          </w:p>
        </w:tc>
        <w:tc>
          <w:tcPr>
            <w:tcW w:w="568" w:type="pct"/>
            <w:vAlign w:val="center"/>
          </w:tcPr>
          <w:p w14:paraId="34999032" w14:textId="77777777" w:rsidR="002A7733" w:rsidRDefault="002A7733" w:rsidP="00D859C2">
            <w:pPr>
              <w:jc w:val="center"/>
            </w:pPr>
            <w:r>
              <w:t>Vortex Sonicate</w:t>
            </w:r>
          </w:p>
        </w:tc>
        <w:tc>
          <w:tcPr>
            <w:tcW w:w="1155" w:type="pct"/>
            <w:vAlign w:val="center"/>
          </w:tcPr>
          <w:p w14:paraId="023D9906" w14:textId="77777777" w:rsidR="002A7733" w:rsidRDefault="002A7733" w:rsidP="00C53911">
            <w:pPr>
              <w:jc w:val="center"/>
            </w:pPr>
            <w:r>
              <w:t>5</w:t>
            </w:r>
          </w:p>
        </w:tc>
        <w:tc>
          <w:tcPr>
            <w:tcW w:w="1915" w:type="pct"/>
            <w:vAlign w:val="center"/>
          </w:tcPr>
          <w:p w14:paraId="102419E7" w14:textId="77777777" w:rsidR="002A7733" w:rsidRDefault="002A7733" w:rsidP="00C53911">
            <w:pPr>
              <w:jc w:val="center"/>
            </w:pPr>
          </w:p>
        </w:tc>
      </w:tr>
      <w:tr w:rsidR="002A7733" w14:paraId="34929A2C" w14:textId="77777777" w:rsidTr="002A7733">
        <w:trPr>
          <w:cantSplit/>
        </w:trPr>
        <w:tc>
          <w:tcPr>
            <w:tcW w:w="638" w:type="pct"/>
            <w:vAlign w:val="center"/>
          </w:tcPr>
          <w:p w14:paraId="7DD6BA11" w14:textId="77777777" w:rsidR="002A7733" w:rsidRDefault="002A7733" w:rsidP="00C53911">
            <w:pPr>
              <w:jc w:val="center"/>
            </w:pPr>
            <w:r>
              <w:t>Milk Thistle</w:t>
            </w:r>
          </w:p>
        </w:tc>
        <w:tc>
          <w:tcPr>
            <w:tcW w:w="724" w:type="pct"/>
            <w:shd w:val="clear" w:color="auto" w:fill="auto"/>
            <w:vAlign w:val="center"/>
          </w:tcPr>
          <w:p w14:paraId="31AD1503" w14:textId="77777777" w:rsidR="002A7733" w:rsidRDefault="006B7A42" w:rsidP="00C53911">
            <w:pPr>
              <w:jc w:val="center"/>
            </w:pPr>
            <w:r>
              <w:t>12.5</w:t>
            </w:r>
          </w:p>
        </w:tc>
        <w:tc>
          <w:tcPr>
            <w:tcW w:w="568" w:type="pct"/>
            <w:vAlign w:val="center"/>
          </w:tcPr>
          <w:p w14:paraId="580BF139" w14:textId="77777777" w:rsidR="002A7733" w:rsidRDefault="002A7733" w:rsidP="00D859C2">
            <w:pPr>
              <w:jc w:val="center"/>
            </w:pPr>
            <w:r>
              <w:t>Vortex Sonicate Centrifuge, remove supernatant</w:t>
            </w:r>
          </w:p>
        </w:tc>
        <w:tc>
          <w:tcPr>
            <w:tcW w:w="1155" w:type="pct"/>
            <w:vAlign w:val="center"/>
          </w:tcPr>
          <w:p w14:paraId="5D320F71" w14:textId="77777777" w:rsidR="002A7733" w:rsidRDefault="002A7733" w:rsidP="00C53911">
            <w:pPr>
              <w:jc w:val="center"/>
            </w:pPr>
            <w:r w:rsidRPr="003E561A">
              <w:t>Solution becomes cloudy after refrigeration, does not re-solubilize after 15 minutes of sonication.</w:t>
            </w:r>
          </w:p>
        </w:tc>
        <w:tc>
          <w:tcPr>
            <w:tcW w:w="1915" w:type="pct"/>
            <w:vAlign w:val="center"/>
          </w:tcPr>
          <w:p w14:paraId="648745EE" w14:textId="77777777" w:rsidR="002A7733" w:rsidRDefault="006B7A42" w:rsidP="00C53911">
            <w:pPr>
              <w:jc w:val="center"/>
            </w:pPr>
            <w:r>
              <w:t>Pellet remains after material is in solution. Concentration corrected for presence of residual solids.</w:t>
            </w:r>
          </w:p>
        </w:tc>
      </w:tr>
      <w:tr w:rsidR="002A7733" w14:paraId="1B509737" w14:textId="77777777" w:rsidTr="002A7733">
        <w:trPr>
          <w:cantSplit/>
        </w:trPr>
        <w:tc>
          <w:tcPr>
            <w:tcW w:w="638" w:type="pct"/>
            <w:vAlign w:val="center"/>
          </w:tcPr>
          <w:p w14:paraId="7731543C" w14:textId="77777777" w:rsidR="002A7733" w:rsidRDefault="002A7733" w:rsidP="00C53911">
            <w:pPr>
              <w:jc w:val="center"/>
            </w:pPr>
            <w:r>
              <w:t>Ginseng</w:t>
            </w:r>
          </w:p>
        </w:tc>
        <w:tc>
          <w:tcPr>
            <w:tcW w:w="724" w:type="pct"/>
            <w:shd w:val="clear" w:color="auto" w:fill="auto"/>
            <w:vAlign w:val="center"/>
          </w:tcPr>
          <w:p w14:paraId="3A79823A" w14:textId="77777777" w:rsidR="002A7733" w:rsidRDefault="002A7733" w:rsidP="002A7733">
            <w:pPr>
              <w:jc w:val="center"/>
            </w:pPr>
            <w:r>
              <w:t xml:space="preserve">3.5 </w:t>
            </w:r>
          </w:p>
        </w:tc>
        <w:tc>
          <w:tcPr>
            <w:tcW w:w="568" w:type="pct"/>
            <w:vAlign w:val="center"/>
          </w:tcPr>
          <w:p w14:paraId="6285AB6F" w14:textId="77777777" w:rsidR="002A7733" w:rsidRDefault="002A7733" w:rsidP="00D859C2">
            <w:pPr>
              <w:jc w:val="center"/>
            </w:pPr>
            <w:r>
              <w:t>Vortex Sonicate Centrifuge, remove supernatant</w:t>
            </w:r>
          </w:p>
        </w:tc>
        <w:tc>
          <w:tcPr>
            <w:tcW w:w="1155" w:type="pct"/>
            <w:vAlign w:val="center"/>
          </w:tcPr>
          <w:p w14:paraId="3D0E9C4A" w14:textId="77777777" w:rsidR="002A7733" w:rsidRDefault="002A7733" w:rsidP="00C53911">
            <w:pPr>
              <w:jc w:val="center"/>
            </w:pPr>
            <w:r>
              <w:t>Solution becomes cloudy after refrigeration, does not re-solubilize after 15 minutes of sonication.</w:t>
            </w:r>
          </w:p>
        </w:tc>
        <w:tc>
          <w:tcPr>
            <w:tcW w:w="1915" w:type="pct"/>
            <w:vAlign w:val="center"/>
          </w:tcPr>
          <w:p w14:paraId="748E89FD" w14:textId="77777777" w:rsidR="002A7733" w:rsidRDefault="002A7733" w:rsidP="00C53911">
            <w:pPr>
              <w:jc w:val="center"/>
            </w:pPr>
            <w:r>
              <w:t>Pellet remains after material is in solution. Concentration corrected for presence of residual solids.</w:t>
            </w:r>
          </w:p>
        </w:tc>
      </w:tr>
      <w:tr w:rsidR="002A7733" w14:paraId="22CFA0F4" w14:textId="77777777" w:rsidTr="002A7733">
        <w:trPr>
          <w:cantSplit/>
        </w:trPr>
        <w:tc>
          <w:tcPr>
            <w:tcW w:w="638" w:type="pct"/>
            <w:vAlign w:val="center"/>
          </w:tcPr>
          <w:p w14:paraId="7DC5C675" w14:textId="77777777" w:rsidR="002A7733" w:rsidRDefault="002A7733" w:rsidP="00C53911">
            <w:pPr>
              <w:jc w:val="center"/>
            </w:pPr>
            <w:r>
              <w:lastRenderedPageBreak/>
              <w:t>Blue Cohosh</w:t>
            </w:r>
          </w:p>
        </w:tc>
        <w:tc>
          <w:tcPr>
            <w:tcW w:w="724" w:type="pct"/>
            <w:vAlign w:val="center"/>
          </w:tcPr>
          <w:p w14:paraId="275B8086" w14:textId="77777777" w:rsidR="002A7733" w:rsidRDefault="002A7733" w:rsidP="00C53911">
            <w:pPr>
              <w:jc w:val="center"/>
            </w:pPr>
            <w:r>
              <w:t xml:space="preserve">25.5 </w:t>
            </w:r>
          </w:p>
        </w:tc>
        <w:tc>
          <w:tcPr>
            <w:tcW w:w="568" w:type="pct"/>
            <w:vAlign w:val="center"/>
          </w:tcPr>
          <w:p w14:paraId="7C5E5EA1" w14:textId="77777777" w:rsidR="002A7733" w:rsidRDefault="002A7733" w:rsidP="00D859C2">
            <w:pPr>
              <w:jc w:val="center"/>
            </w:pPr>
            <w:r>
              <w:t>Vortex Sonicate</w:t>
            </w:r>
          </w:p>
        </w:tc>
        <w:tc>
          <w:tcPr>
            <w:tcW w:w="1155" w:type="pct"/>
            <w:vAlign w:val="center"/>
          </w:tcPr>
          <w:p w14:paraId="4B615168" w14:textId="77777777" w:rsidR="002A7733" w:rsidRDefault="002A7733" w:rsidP="00C53911">
            <w:pPr>
              <w:jc w:val="center"/>
            </w:pPr>
            <w:r>
              <w:t>5</w:t>
            </w:r>
          </w:p>
        </w:tc>
        <w:tc>
          <w:tcPr>
            <w:tcW w:w="1915" w:type="pct"/>
            <w:vAlign w:val="center"/>
          </w:tcPr>
          <w:p w14:paraId="6F7CD3A0" w14:textId="77777777" w:rsidR="002A7733" w:rsidRDefault="002A7733" w:rsidP="00C53911">
            <w:pPr>
              <w:jc w:val="center"/>
            </w:pPr>
          </w:p>
        </w:tc>
      </w:tr>
      <w:tr w:rsidR="002A7733" w14:paraId="2F36CE7E" w14:textId="77777777" w:rsidTr="002A7733">
        <w:trPr>
          <w:cantSplit/>
        </w:trPr>
        <w:tc>
          <w:tcPr>
            <w:tcW w:w="638" w:type="pct"/>
            <w:vAlign w:val="center"/>
          </w:tcPr>
          <w:p w14:paraId="125E85FD" w14:textId="77777777" w:rsidR="002A7733" w:rsidRDefault="002A7733" w:rsidP="00C53911">
            <w:pPr>
              <w:jc w:val="center"/>
            </w:pPr>
            <w:r>
              <w:t>Comfrey</w:t>
            </w:r>
          </w:p>
        </w:tc>
        <w:tc>
          <w:tcPr>
            <w:tcW w:w="724" w:type="pct"/>
            <w:shd w:val="clear" w:color="auto" w:fill="auto"/>
            <w:vAlign w:val="center"/>
          </w:tcPr>
          <w:p w14:paraId="4F46EA1D" w14:textId="77777777" w:rsidR="002A7733" w:rsidRPr="000122A2" w:rsidRDefault="002A7733" w:rsidP="00C53911">
            <w:pPr>
              <w:jc w:val="center"/>
              <w:rPr>
                <w:highlight w:val="yellow"/>
              </w:rPr>
            </w:pPr>
            <w:r w:rsidRPr="00F414B7">
              <w:t>5.8</w:t>
            </w:r>
          </w:p>
        </w:tc>
        <w:tc>
          <w:tcPr>
            <w:tcW w:w="568" w:type="pct"/>
            <w:vAlign w:val="center"/>
          </w:tcPr>
          <w:p w14:paraId="6E904501" w14:textId="77777777" w:rsidR="002A7733" w:rsidRDefault="002A7733" w:rsidP="00D859C2">
            <w:pPr>
              <w:jc w:val="center"/>
            </w:pPr>
            <w:r>
              <w:t>Vortex Sonicate</w:t>
            </w:r>
          </w:p>
        </w:tc>
        <w:tc>
          <w:tcPr>
            <w:tcW w:w="1155" w:type="pct"/>
            <w:vAlign w:val="center"/>
          </w:tcPr>
          <w:p w14:paraId="2FB43BD6" w14:textId="77777777" w:rsidR="002A7733" w:rsidRDefault="002A7733" w:rsidP="00C53911">
            <w:pPr>
              <w:jc w:val="center"/>
            </w:pPr>
            <w:r>
              <w:t>10</w:t>
            </w:r>
          </w:p>
        </w:tc>
        <w:tc>
          <w:tcPr>
            <w:tcW w:w="1915" w:type="pct"/>
            <w:vAlign w:val="center"/>
          </w:tcPr>
          <w:p w14:paraId="30685FFA" w14:textId="77777777" w:rsidR="002A7733" w:rsidRDefault="002A7733" w:rsidP="00C53911">
            <w:pPr>
              <w:jc w:val="center"/>
            </w:pPr>
          </w:p>
        </w:tc>
      </w:tr>
      <w:tr w:rsidR="002A7733" w14:paraId="4A5C3917" w14:textId="77777777" w:rsidTr="002A7733">
        <w:trPr>
          <w:cantSplit/>
        </w:trPr>
        <w:tc>
          <w:tcPr>
            <w:tcW w:w="638" w:type="pct"/>
            <w:vAlign w:val="center"/>
          </w:tcPr>
          <w:p w14:paraId="649C74FD" w14:textId="77777777" w:rsidR="002A7733" w:rsidRDefault="002A7733" w:rsidP="00C53911">
            <w:pPr>
              <w:jc w:val="center"/>
            </w:pPr>
            <w:r>
              <w:t>Aristolochia fangchi</w:t>
            </w:r>
          </w:p>
        </w:tc>
        <w:tc>
          <w:tcPr>
            <w:tcW w:w="724" w:type="pct"/>
            <w:vAlign w:val="center"/>
          </w:tcPr>
          <w:p w14:paraId="6140F71C" w14:textId="77777777" w:rsidR="002A7733" w:rsidRDefault="00D80FAC" w:rsidP="00C53911">
            <w:pPr>
              <w:jc w:val="center"/>
            </w:pPr>
            <w:r>
              <w:t>5</w:t>
            </w:r>
          </w:p>
        </w:tc>
        <w:tc>
          <w:tcPr>
            <w:tcW w:w="568" w:type="pct"/>
            <w:vAlign w:val="center"/>
          </w:tcPr>
          <w:p w14:paraId="1454C7EA" w14:textId="77777777" w:rsidR="002A7733" w:rsidRDefault="00D80FAC" w:rsidP="00D859C2">
            <w:pPr>
              <w:jc w:val="center"/>
            </w:pPr>
            <w:r>
              <w:t>Vortex Sonicate</w:t>
            </w:r>
          </w:p>
        </w:tc>
        <w:tc>
          <w:tcPr>
            <w:tcW w:w="1155" w:type="pct"/>
            <w:vAlign w:val="center"/>
          </w:tcPr>
          <w:p w14:paraId="13860E36" w14:textId="77777777" w:rsidR="002A7733" w:rsidRDefault="00B55E95" w:rsidP="00C53911">
            <w:pPr>
              <w:jc w:val="center"/>
            </w:pPr>
            <w:r w:rsidRPr="003E561A">
              <w:t>Solution becomes cloudy after refrigeration, does not re-solubilize after 15 minutes of sonication.</w:t>
            </w:r>
          </w:p>
        </w:tc>
        <w:tc>
          <w:tcPr>
            <w:tcW w:w="1915" w:type="pct"/>
            <w:vAlign w:val="center"/>
          </w:tcPr>
          <w:p w14:paraId="18DBFBEC" w14:textId="77777777" w:rsidR="002A7733" w:rsidRDefault="002A7733" w:rsidP="00C53911">
            <w:pPr>
              <w:jc w:val="center"/>
            </w:pPr>
          </w:p>
        </w:tc>
      </w:tr>
      <w:tr w:rsidR="002A7733" w14:paraId="1A5BDED9" w14:textId="77777777" w:rsidTr="002A7733">
        <w:trPr>
          <w:cantSplit/>
        </w:trPr>
        <w:tc>
          <w:tcPr>
            <w:tcW w:w="638" w:type="pct"/>
            <w:vAlign w:val="center"/>
          </w:tcPr>
          <w:p w14:paraId="4F071593" w14:textId="77777777" w:rsidR="002A7733" w:rsidRDefault="002A7733" w:rsidP="00C53911">
            <w:pPr>
              <w:jc w:val="center"/>
            </w:pPr>
            <w:r>
              <w:t>Green tea</w:t>
            </w:r>
          </w:p>
        </w:tc>
        <w:tc>
          <w:tcPr>
            <w:tcW w:w="724" w:type="pct"/>
            <w:vAlign w:val="center"/>
          </w:tcPr>
          <w:p w14:paraId="5DD389A8" w14:textId="77777777" w:rsidR="002A7733" w:rsidRDefault="003069E7" w:rsidP="00C53911">
            <w:pPr>
              <w:jc w:val="center"/>
            </w:pPr>
            <w:r>
              <w:t>167</w:t>
            </w:r>
          </w:p>
        </w:tc>
        <w:tc>
          <w:tcPr>
            <w:tcW w:w="568" w:type="pct"/>
            <w:vAlign w:val="center"/>
          </w:tcPr>
          <w:p w14:paraId="1754E965" w14:textId="77777777" w:rsidR="002A7733" w:rsidRDefault="003069E7" w:rsidP="00D859C2">
            <w:pPr>
              <w:jc w:val="center"/>
            </w:pPr>
            <w:r>
              <w:t>Vortex Sonicate</w:t>
            </w:r>
          </w:p>
        </w:tc>
        <w:tc>
          <w:tcPr>
            <w:tcW w:w="1155" w:type="pct"/>
            <w:vAlign w:val="center"/>
          </w:tcPr>
          <w:p w14:paraId="2F8A88BB" w14:textId="77777777" w:rsidR="002A7733" w:rsidRDefault="003069E7" w:rsidP="00C53911">
            <w:pPr>
              <w:jc w:val="center"/>
            </w:pPr>
            <w:r>
              <w:t>0</w:t>
            </w:r>
          </w:p>
        </w:tc>
        <w:tc>
          <w:tcPr>
            <w:tcW w:w="1915" w:type="pct"/>
            <w:vAlign w:val="center"/>
          </w:tcPr>
          <w:p w14:paraId="70AC3AE2" w14:textId="77777777" w:rsidR="002A7733" w:rsidRDefault="002A7733" w:rsidP="00C53911">
            <w:pPr>
              <w:jc w:val="center"/>
            </w:pPr>
          </w:p>
        </w:tc>
      </w:tr>
      <w:tr w:rsidR="002A7733" w14:paraId="7D7C81AF" w14:textId="77777777" w:rsidTr="002A7733">
        <w:trPr>
          <w:cantSplit/>
        </w:trPr>
        <w:tc>
          <w:tcPr>
            <w:tcW w:w="638" w:type="pct"/>
            <w:vAlign w:val="center"/>
          </w:tcPr>
          <w:p w14:paraId="5180F04A" w14:textId="77777777" w:rsidR="002A7733" w:rsidRDefault="002A7733" w:rsidP="00C53911">
            <w:pPr>
              <w:jc w:val="center"/>
            </w:pPr>
            <w:r>
              <w:t>Ashwagandha</w:t>
            </w:r>
          </w:p>
        </w:tc>
        <w:tc>
          <w:tcPr>
            <w:tcW w:w="724" w:type="pct"/>
            <w:vAlign w:val="center"/>
          </w:tcPr>
          <w:p w14:paraId="5A8F2F55" w14:textId="77777777" w:rsidR="002A7733" w:rsidRDefault="0018259D" w:rsidP="00C53911">
            <w:pPr>
              <w:jc w:val="center"/>
            </w:pPr>
            <w:r>
              <w:t>8</w:t>
            </w:r>
          </w:p>
        </w:tc>
        <w:tc>
          <w:tcPr>
            <w:tcW w:w="568" w:type="pct"/>
            <w:vAlign w:val="center"/>
          </w:tcPr>
          <w:p w14:paraId="4217B1A9" w14:textId="77777777" w:rsidR="002A7733" w:rsidRDefault="00D80FAC" w:rsidP="00D859C2">
            <w:pPr>
              <w:jc w:val="center"/>
            </w:pPr>
            <w:r>
              <w:t>Vortex Sonicate Centrifuge, remove supernatant</w:t>
            </w:r>
          </w:p>
        </w:tc>
        <w:tc>
          <w:tcPr>
            <w:tcW w:w="1155" w:type="pct"/>
            <w:vAlign w:val="center"/>
          </w:tcPr>
          <w:p w14:paraId="22077BCF" w14:textId="77777777" w:rsidR="002A7733" w:rsidRDefault="003E561A" w:rsidP="00C53911">
            <w:pPr>
              <w:jc w:val="center"/>
            </w:pPr>
            <w:r>
              <w:t>15</w:t>
            </w:r>
          </w:p>
        </w:tc>
        <w:tc>
          <w:tcPr>
            <w:tcW w:w="1915" w:type="pct"/>
            <w:vAlign w:val="center"/>
          </w:tcPr>
          <w:p w14:paraId="14257EC2" w14:textId="77777777" w:rsidR="002A7733" w:rsidRDefault="00D80FAC" w:rsidP="00C53911">
            <w:pPr>
              <w:jc w:val="center"/>
            </w:pPr>
            <w:r>
              <w:t>Pellet remains after material is in solution. Concentration corrected for presence of residual solids.</w:t>
            </w:r>
          </w:p>
        </w:tc>
      </w:tr>
      <w:tr w:rsidR="002A7733" w14:paraId="6CFCF548" w14:textId="77777777" w:rsidTr="002A7733">
        <w:trPr>
          <w:cantSplit/>
        </w:trPr>
        <w:tc>
          <w:tcPr>
            <w:tcW w:w="638" w:type="pct"/>
            <w:vAlign w:val="center"/>
          </w:tcPr>
          <w:p w14:paraId="2C881308" w14:textId="77777777" w:rsidR="002A7733" w:rsidRDefault="002A7733" w:rsidP="00C53911">
            <w:pPr>
              <w:jc w:val="center"/>
            </w:pPr>
            <w:r>
              <w:t>Usnea lichen</w:t>
            </w:r>
          </w:p>
        </w:tc>
        <w:tc>
          <w:tcPr>
            <w:tcW w:w="724" w:type="pct"/>
            <w:vAlign w:val="center"/>
          </w:tcPr>
          <w:p w14:paraId="7B4EE881" w14:textId="77777777" w:rsidR="002A7733" w:rsidRDefault="00D51F82" w:rsidP="00C53911">
            <w:pPr>
              <w:jc w:val="center"/>
            </w:pPr>
            <w:r>
              <w:t>11.4</w:t>
            </w:r>
          </w:p>
        </w:tc>
        <w:tc>
          <w:tcPr>
            <w:tcW w:w="568" w:type="pct"/>
            <w:vAlign w:val="center"/>
          </w:tcPr>
          <w:p w14:paraId="1D3A8B76" w14:textId="77777777" w:rsidR="002A7733" w:rsidRDefault="0068534E" w:rsidP="00D859C2">
            <w:pPr>
              <w:jc w:val="center"/>
            </w:pPr>
            <w:r>
              <w:t>Vortex Sonicate Centrifuge, remove supernatant</w:t>
            </w:r>
          </w:p>
        </w:tc>
        <w:tc>
          <w:tcPr>
            <w:tcW w:w="1155" w:type="pct"/>
            <w:vAlign w:val="center"/>
          </w:tcPr>
          <w:p w14:paraId="6A04E53D" w14:textId="77777777" w:rsidR="002A7733" w:rsidRDefault="003E561A" w:rsidP="00C53911">
            <w:pPr>
              <w:jc w:val="center"/>
            </w:pPr>
            <w:r>
              <w:t>Solution becomes cloudy after refrigeration, does not re-solubilize after 15+ minutes of sonication.</w:t>
            </w:r>
          </w:p>
        </w:tc>
        <w:tc>
          <w:tcPr>
            <w:tcW w:w="1915" w:type="pct"/>
            <w:vAlign w:val="center"/>
          </w:tcPr>
          <w:p w14:paraId="58DB37EA" w14:textId="77777777" w:rsidR="002A7733" w:rsidRDefault="0068534E" w:rsidP="00C53911">
            <w:pPr>
              <w:jc w:val="center"/>
            </w:pPr>
            <w:r>
              <w:t>Pellet remains after material is in solution. Concentration corrected for presence of residual solids.</w:t>
            </w:r>
          </w:p>
        </w:tc>
      </w:tr>
    </w:tbl>
    <w:p w14:paraId="3F5AACDD" w14:textId="77777777" w:rsidR="00F43E6C" w:rsidRDefault="00F43E6C" w:rsidP="00F43E6C">
      <w:pPr>
        <w:spacing w:after="0" w:line="240" w:lineRule="auto"/>
      </w:pPr>
      <w:r>
        <w:t>*</w:t>
      </w:r>
      <w:proofErr w:type="spellStart"/>
      <w:r>
        <w:t>Vortexing</w:t>
      </w:r>
      <w:proofErr w:type="spellEnd"/>
      <w:r>
        <w:t xml:space="preserve"> is typically done in 30-second intervals, recommend 2 x 30 seconds as needed. Sonication time should be limited to 10-15 minutes to avoid heating the solution. Centrifugation at 2,000 rpm for 5 minutes where indicated.</w:t>
      </w:r>
    </w:p>
    <w:p w14:paraId="14A66EBB" w14:textId="77777777" w:rsidR="001D4B91" w:rsidRDefault="001D4B91" w:rsidP="001D4B91">
      <w:r>
        <w:t>*</w:t>
      </w:r>
      <w:r w:rsidR="00F43E6C">
        <w:t>*</w:t>
      </w:r>
      <w:r>
        <w:t>Solution refrigerated overnight, then brought back to room temperature prior to sonication.</w:t>
      </w:r>
    </w:p>
    <w:p w14:paraId="4FF2CA9C" w14:textId="77777777" w:rsidR="004C0374" w:rsidRDefault="00000000" w:rsidP="003B5264"/>
    <w:sectPr w:rsidR="004C0374" w:rsidSect="00FB529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E5"/>
    <w:rsid w:val="000122A2"/>
    <w:rsid w:val="0002163B"/>
    <w:rsid w:val="00122FC0"/>
    <w:rsid w:val="0018259D"/>
    <w:rsid w:val="001D4B91"/>
    <w:rsid w:val="00243C60"/>
    <w:rsid w:val="002729DB"/>
    <w:rsid w:val="002A7733"/>
    <w:rsid w:val="00304064"/>
    <w:rsid w:val="003069E7"/>
    <w:rsid w:val="003B5264"/>
    <w:rsid w:val="003E561A"/>
    <w:rsid w:val="003F233F"/>
    <w:rsid w:val="004013CB"/>
    <w:rsid w:val="00541AD5"/>
    <w:rsid w:val="0063507E"/>
    <w:rsid w:val="006452DF"/>
    <w:rsid w:val="0068534E"/>
    <w:rsid w:val="006B7A42"/>
    <w:rsid w:val="0071285A"/>
    <w:rsid w:val="00796DF6"/>
    <w:rsid w:val="00A95A51"/>
    <w:rsid w:val="00B5390A"/>
    <w:rsid w:val="00B55E95"/>
    <w:rsid w:val="00B624D6"/>
    <w:rsid w:val="00BC0FE5"/>
    <w:rsid w:val="00BD2A50"/>
    <w:rsid w:val="00BD4DE7"/>
    <w:rsid w:val="00C53911"/>
    <w:rsid w:val="00CE135F"/>
    <w:rsid w:val="00D51F82"/>
    <w:rsid w:val="00D80FAC"/>
    <w:rsid w:val="00D859C2"/>
    <w:rsid w:val="00ED4730"/>
    <w:rsid w:val="00F11205"/>
    <w:rsid w:val="00F2216C"/>
    <w:rsid w:val="00F414B7"/>
    <w:rsid w:val="00F43E6C"/>
    <w:rsid w:val="00F71000"/>
    <w:rsid w:val="00FB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F1A1"/>
  <w15:chartTrackingRefBased/>
  <w15:docId w15:val="{6AFBAD48-55A8-4915-B0A5-6487B964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8173">
      <w:bodyDiv w:val="1"/>
      <w:marLeft w:val="0"/>
      <w:marRight w:val="0"/>
      <w:marTop w:val="0"/>
      <w:marBottom w:val="0"/>
      <w:divBdr>
        <w:top w:val="none" w:sz="0" w:space="0" w:color="auto"/>
        <w:left w:val="none" w:sz="0" w:space="0" w:color="auto"/>
        <w:bottom w:val="none" w:sz="0" w:space="0" w:color="auto"/>
        <w:right w:val="none" w:sz="0" w:space="0" w:color="auto"/>
      </w:divBdr>
      <w:divsChild>
        <w:div w:id="1412042303">
          <w:marLeft w:val="0"/>
          <w:marRight w:val="0"/>
          <w:marTop w:val="0"/>
          <w:marBottom w:val="0"/>
          <w:divBdr>
            <w:top w:val="none" w:sz="0" w:space="0" w:color="auto"/>
            <w:left w:val="none" w:sz="0" w:space="0" w:color="auto"/>
            <w:bottom w:val="none" w:sz="0" w:space="0" w:color="auto"/>
            <w:right w:val="none" w:sz="0" w:space="0" w:color="auto"/>
          </w:divBdr>
          <w:divsChild>
            <w:div w:id="1738740906">
              <w:marLeft w:val="0"/>
              <w:marRight w:val="0"/>
              <w:marTop w:val="0"/>
              <w:marBottom w:val="0"/>
              <w:divBdr>
                <w:top w:val="none" w:sz="0" w:space="0" w:color="auto"/>
                <w:left w:val="none" w:sz="0" w:space="0" w:color="auto"/>
                <w:bottom w:val="none" w:sz="0" w:space="0" w:color="auto"/>
                <w:right w:val="none" w:sz="0" w:space="0" w:color="auto"/>
              </w:divBdr>
              <w:divsChild>
                <w:div w:id="1624189517">
                  <w:marLeft w:val="0"/>
                  <w:marRight w:val="0"/>
                  <w:marTop w:val="0"/>
                  <w:marBottom w:val="0"/>
                  <w:divBdr>
                    <w:top w:val="none" w:sz="0" w:space="0" w:color="auto"/>
                    <w:left w:val="none" w:sz="0" w:space="0" w:color="auto"/>
                    <w:bottom w:val="none" w:sz="0" w:space="0" w:color="auto"/>
                    <w:right w:val="none" w:sz="0" w:space="0" w:color="auto"/>
                  </w:divBdr>
                  <w:divsChild>
                    <w:div w:id="3097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Sarah</dc:creator>
  <cp:keywords/>
  <dc:description/>
  <cp:lastModifiedBy>Fostel, Jennifer (NIH/NIEHS) [E]</cp:lastModifiedBy>
  <cp:revision>2</cp:revision>
  <dcterms:created xsi:type="dcterms:W3CDTF">2023-10-05T20:46:00Z</dcterms:created>
  <dcterms:modified xsi:type="dcterms:W3CDTF">2023-10-05T20:46:00Z</dcterms:modified>
</cp:coreProperties>
</file>