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Apoptosis Enhancing Nuclease, ISG20L1, Interferon Stimulated Exonuclease Gene 20kDa-Like 1, Interferon-Stimulated 20 KDa Exonuclease-Like 1, Apoptosis-Enhancing Nuclease, FLJ12484, FLJ12562, EC 3.1.13.1, Pp12744</w:t>
      </w:r>
    </w:p>
    <w:p>
      <w:pPr>
        <w:pStyle w:val="BodyText"/>
      </w:pPr>
      <w:r>
        <w:t xml:space="preserve">[</w:t>
      </w:r>
      <w:hyperlink r:id="rId20">
        <w:r>
          <w:rPr>
            <w:rStyle w:val="Hyperlink"/>
          </w:rPr>
          <w:t xml:space="preserve">https://www.genecards.org/cgi-bin/carddisp.pl?gene=AEN</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Aen mRNA expression was significantly downregulated in the liver of hepatocellular carcinoma (HCC) bearing animals treated with grape seed extract (GSE) compared to untreated HCC bearing animals [PMID: 26345095].</w:t>
      </w:r>
    </w:p>
    <w:p>
      <w:pPr>
        <w:numPr>
          <w:ilvl w:val="0"/>
          <w:numId w:val="1001"/>
        </w:numPr>
        <w:pStyle w:val="Compact"/>
      </w:pPr>
      <w:r>
        <w:t xml:space="preserve">Human RNA-seq data revealed a notable elevation in AEN gene expression correlated with the nonalcoholic fatty liver disease (NAFLD) activity score and fibrosis stage [PMID: 39280071].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Q8WTP8</w:t>
      </w:r>
    </w:p>
    <w:p>
      <w:pPr>
        <w:numPr>
          <w:ilvl w:val="0"/>
          <w:numId w:val="1002"/>
        </w:numPr>
        <w:pStyle w:val="Compact"/>
      </w:pPr>
      <w:r>
        <w:t xml:space="preserve">Size: 325 amino acids</w:t>
      </w:r>
    </w:p>
    <w:p>
      <w:pPr>
        <w:numPr>
          <w:ilvl w:val="0"/>
          <w:numId w:val="1002"/>
        </w:numPr>
        <w:pStyle w:val="Compact"/>
      </w:pPr>
      <w:r>
        <w:t xml:space="preserve">Molecular mass: 36350 Da</w:t>
      </w:r>
    </w:p>
    <w:p>
      <w:pPr>
        <w:numPr>
          <w:ilvl w:val="0"/>
          <w:numId w:val="1002"/>
        </w:numPr>
        <w:pStyle w:val="Compact"/>
      </w:pPr>
      <w:r>
        <w:t xml:space="preserve">Domains: Exonuclease_RNaseT/DNA_pol3, REXO1/3/4-like, RNaseH-like_sf, RNaseH_sf</w:t>
      </w:r>
    </w:p>
    <w:p>
      <w:pPr>
        <w:numPr>
          <w:ilvl w:val="0"/>
          <w:numId w:val="1002"/>
        </w:numPr>
        <w:pStyle w:val="Compact"/>
      </w:pPr>
      <w:r>
        <w:t xml:space="preserve">Family: None</w:t>
      </w:r>
    </w:p>
    <w:p>
      <w:pPr>
        <w:numPr>
          <w:ilvl w:val="0"/>
          <w:numId w:val="1002"/>
        </w:numPr>
        <w:pStyle w:val="Compact"/>
      </w:pPr>
      <w:r>
        <w:t xml:space="preserve">Peptides derived from the GPIb(alpha) sequence W219-V227, specifically the A224-N226 (AEN) sequence, inhibit platelet aggregation, suggesting a region within the GPIb(alpha) chain modulates platelet aggregation induced by alpha-thrombin [PMID: 8900292].</w:t>
      </w:r>
    </w:p>
    <w:p>
      <w:pPr>
        <w:numPr>
          <w:ilvl w:val="0"/>
          <w:numId w:val="1002"/>
        </w:numPr>
        <w:pStyle w:val="Compact"/>
      </w:pPr>
      <w:r>
        <w:t xml:space="preserve">ISG20L2, a protein identified in human nucleoli, is a 3’ to 5’ exoribonuclease involved in ribosome biogenesis, specifically 5.8 S rRNA maturation, with its N-terminal half promoting nucleolar localization and its C-terminal half bearing the exoribonuclease activity [PMID: 18065403].</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AAMP</w:t>
      </w:r>
      <w:r>
        <w:t xml:space="preserve"> </w:t>
      </w:r>
      <w:r>
        <w:t xml:space="preserve">Angio-associated migratory cell protein; Plays a role in angiogenesis and cell migration. In smooth muscle cell migration, may act through the RhoA pathway. [PMID: 25416956, PMID: 26186194, PMID: 28514442, PMID: 29892012, PMID: 32296183]</w:t>
      </w:r>
    </w:p>
    <w:p>
      <w:pPr>
        <w:numPr>
          <w:ilvl w:val="0"/>
          <w:numId w:val="1003"/>
        </w:numPr>
        <w:pStyle w:val="Compact"/>
      </w:pPr>
      <w:r>
        <w:rPr>
          <w:bCs/>
          <w:b/>
        </w:rPr>
        <w:t xml:space="preserve">HOMEZ</w:t>
      </w:r>
      <w:r>
        <w:t xml:space="preserve"> </w:t>
      </w:r>
      <w:r>
        <w:t xml:space="preserve">Homeobox and leucine zipper protein Homez; May function as a transcriptional regulator. [PMID: 25416956, PMID: 32296183]</w:t>
      </w:r>
    </w:p>
    <w:p>
      <w:pPr>
        <w:numPr>
          <w:ilvl w:val="0"/>
          <w:numId w:val="1003"/>
        </w:numPr>
        <w:pStyle w:val="Compact"/>
      </w:pPr>
      <w:r>
        <w:rPr>
          <w:bCs/>
          <w:b/>
        </w:rPr>
        <w:t xml:space="preserve">ZNF317</w:t>
      </w:r>
      <w:r>
        <w:t xml:space="preserve"> </w:t>
      </w:r>
      <w:r>
        <w:t xml:space="preserve">Zinc finger protein 317; May function as a transcription factor. May play an important role in erythroid maturation and lymphoid proliferation. [PMID: 25416956, PMID: 31515488]</w:t>
      </w:r>
    </w:p>
    <w:p>
      <w:pPr>
        <w:numPr>
          <w:ilvl w:val="0"/>
          <w:numId w:val="1003"/>
        </w:numPr>
        <w:pStyle w:val="Compact"/>
      </w:pPr>
      <w:r>
        <w:rPr>
          <w:bCs/>
          <w:b/>
        </w:rPr>
        <w:t xml:space="preserve">ZFP64</w:t>
      </w:r>
      <w:r>
        <w:t xml:space="preserve"> </w:t>
      </w:r>
      <w:r>
        <w:t xml:space="preserve">Zinc finger protein 64; May be involved in transcriptional regulation; Belongs to the krueppel C2H2-type zinc-finger protein family. [PMID: 21516116, PMID: 25416956]</w:t>
      </w:r>
    </w:p>
    <w:p>
      <w:pPr>
        <w:numPr>
          <w:ilvl w:val="0"/>
          <w:numId w:val="1003"/>
        </w:numPr>
        <w:pStyle w:val="Compact"/>
      </w:pPr>
      <w:r>
        <w:rPr>
          <w:bCs/>
          <w:b/>
        </w:rPr>
        <w:t xml:space="preserve">LZTS2</w:t>
      </w:r>
      <w:r>
        <w:t xml:space="preserve"> </w:t>
      </w:r>
      <w:r>
        <w:t xml:space="preserve">Leucine zipper putative tumor suppressor 2; Negative regulator of katanin-mediated microtubule severing and release from the centrosome. Required for central spindle formation and the completion of cytokinesis. May negatively regulate axonal outgrowth by preventing the formation of microtubule bundles that are necessary for transport within the elongating axon. Negative regulator of the Wnt signaling pathway. Represses beta-catenin-mediated transcriptional activation by promoting the nuclear exclusion of beta- catenin. Belongs to the LZTS2 family. [PMID: 25416956, PMID: 32296183]</w:t>
      </w:r>
    </w:p>
    <w:p>
      <w:pPr>
        <w:numPr>
          <w:ilvl w:val="0"/>
          <w:numId w:val="1003"/>
        </w:numPr>
        <w:pStyle w:val="Compact"/>
      </w:pPr>
      <w:r>
        <w:rPr>
          <w:bCs/>
          <w:b/>
        </w:rPr>
        <w:t xml:space="preserve">ZNF473</w:t>
      </w:r>
      <w:r>
        <w:t xml:space="preserve"> </w:t>
      </w:r>
      <w:r>
        <w:t xml:space="preserve">Zinc finger protein 473; Involved in histone 3’-end pre-mRNA processing by associating with U7 snRNP and interacting with SLBP/pre-mRNA complex. Increases histone 3’-end pre-mRNA processing but has no effect on U7 snRNP levels, when overexpressed. Required for cell cycle progression from G1 to S phases. [PMID: 25416956, PMID: 31515488]</w:t>
      </w:r>
    </w:p>
    <w:p>
      <w:pPr>
        <w:numPr>
          <w:ilvl w:val="0"/>
          <w:numId w:val="1003"/>
        </w:numPr>
        <w:pStyle w:val="Compact"/>
      </w:pPr>
      <w:r>
        <w:rPr>
          <w:bCs/>
          <w:b/>
        </w:rPr>
        <w:t xml:space="preserve">HAP1</w:t>
      </w:r>
      <w:r>
        <w:t xml:space="preserve"> </w:t>
      </w:r>
      <w:r>
        <w:t xml:space="preserve">Huntingtin-associated protein 1; Originally identified as neuronal protein that specifically associates with HTT/huntingtin and the binding is enhanced by an expanded polyglutamine repeat within HTT possibly affecting HAP1 interaction properties. Both HTT and HAP1 are involved in intracellular trafficking and HAP1 is proposed to link HTT to motor proteins and/or transport cargos. Seems to play a role in vesicular transport within neurons and axons such as from early endosomes to late endocytic compartments and to promote neurite outgrowth. [PMID: 32296183]</w:t>
      </w:r>
    </w:p>
    <w:p>
      <w:pPr>
        <w:numPr>
          <w:ilvl w:val="0"/>
          <w:numId w:val="1003"/>
        </w:numPr>
        <w:pStyle w:val="Compact"/>
      </w:pPr>
      <w:r>
        <w:rPr>
          <w:bCs/>
          <w:b/>
        </w:rPr>
        <w:t xml:space="preserve">TLE5</w:t>
      </w:r>
      <w:r>
        <w:t xml:space="preserve"> </w:t>
      </w:r>
      <w:r>
        <w:t xml:space="preserve">TLE family member 5; Transcriptional corepressor. Acts as dominant repressor towards other family members. Inhibits NF-kappa-B-regulated gene expression. May be required for the initiation and maintenance of the differentiated state. Essential for the transcriptional repressor activity of SIX3 during retina and lens development. Belongs to the WD repeat Groucho/TLE family. [PMID: 25416956]</w:t>
      </w:r>
    </w:p>
    <w:p>
      <w:pPr>
        <w:numPr>
          <w:ilvl w:val="0"/>
          <w:numId w:val="1003"/>
        </w:numPr>
        <w:pStyle w:val="Compact"/>
      </w:pPr>
      <w:r>
        <w:rPr>
          <w:bCs/>
          <w:b/>
        </w:rPr>
        <w:t xml:space="preserve">RBMY1A1</w:t>
      </w:r>
      <w:r>
        <w:t xml:space="preserve"> </w:t>
      </w:r>
      <w:r>
        <w:t xml:space="preserve">RNA-binding motif protein, Y chromosome, family 1 member A1; RNA-binding protein involved in pre-mRNA splicing. Required for sperm development. Acts additively with TRA2B to promote exon 7 inclusion of the survival motor neuron SMN. Binds non-specifically to mRNAs. [PMID: 25416956]</w:t>
      </w:r>
    </w:p>
    <w:p>
      <w:pPr>
        <w:numPr>
          <w:ilvl w:val="0"/>
          <w:numId w:val="1003"/>
        </w:numPr>
        <w:pStyle w:val="Compact"/>
      </w:pPr>
      <w:r>
        <w:rPr>
          <w:bCs/>
          <w:b/>
        </w:rPr>
        <w:t xml:space="preserve">RBMY1F</w:t>
      </w:r>
      <w:r>
        <w:t xml:space="preserve"> </w:t>
      </w:r>
      <w:r>
        <w:t xml:space="preserve">RNA-binding motif protein, Y chromosome, family 1 member F/J; RNA-binding protein which may be involved in spermatogenesis. Required for sperm development, possibly by participating in pre-mRNA splicing in the testis. [PMID: 25416956]</w:t>
      </w:r>
    </w:p>
    <w:p>
      <w:pPr>
        <w:numPr>
          <w:ilvl w:val="0"/>
          <w:numId w:val="1003"/>
        </w:numPr>
        <w:pStyle w:val="Compact"/>
      </w:pPr>
      <w:r>
        <w:rPr>
          <w:bCs/>
          <w:b/>
        </w:rPr>
        <w:t xml:space="preserve">RPGRIP1</w:t>
      </w:r>
      <w:r>
        <w:t xml:space="preserve"> </w:t>
      </w:r>
      <w:r>
        <w:t xml:space="preserve">X-linked retinitis pigmentosa GTPase regulator-interacting protein 1; May function as scaffolding protein. Required for normal location of RPGR at the connecting cilium of photoreceptor cells. Required for normal disk morphogenesis and disk organization in the outer segment of photoreceptor cells and for survival of photoreceptor cells; Belongs to the RPGRIP1 family. [PMID: 25416956]</w:t>
      </w:r>
    </w:p>
    <w:p>
      <w:pPr>
        <w:numPr>
          <w:ilvl w:val="0"/>
          <w:numId w:val="1003"/>
        </w:numPr>
        <w:pStyle w:val="Compact"/>
      </w:pPr>
      <w:r>
        <w:rPr>
          <w:bCs/>
          <w:b/>
        </w:rPr>
        <w:t xml:space="preserve">SEMA4B</w:t>
      </w:r>
      <w:r>
        <w:t xml:space="preserve"> </w:t>
      </w:r>
      <w:r>
        <w:t xml:space="preserve">Semaphorin-4B; Inhibits axonal extension by providing local signals to specify territories inaccessible for growing axons. [PMID: 28514442]</w:t>
      </w:r>
    </w:p>
    <w:p>
      <w:pPr>
        <w:numPr>
          <w:ilvl w:val="0"/>
          <w:numId w:val="1003"/>
        </w:numPr>
        <w:pStyle w:val="Compact"/>
      </w:pPr>
      <w:r>
        <w:rPr>
          <w:bCs/>
          <w:b/>
        </w:rPr>
        <w:t xml:space="preserve">SPOP</w:t>
      </w:r>
      <w:r>
        <w:t xml:space="preserve"> </w:t>
      </w:r>
      <w:r>
        <w:t xml:space="preserve">Speckle-type POZ protein; Component of a cullin-RING-based BCR (BTB-CUL3-RBX1) E3 ubiquitin-protein ligase complex that mediates the ubiquitination of target proteins, leading most often to their proteasomal degradation. In complex with CUL3, involved in ubiquitination and proteasomal degradation of BRMS1, DAXX, PDX1/IPF1, GLI2 and GLI3. In complex with CUL3, involved in ubiquitination of MACROH2A1 and BMI1; this does not lead to their proteasomal degradation. Inhibits transcriptional activation of PDX1/IPF1 targets, such as insulin, by promoting PDX1/IPF1 degradation. [PMID: 29996942]</w:t>
      </w:r>
    </w:p>
    <w:p>
      <w:pPr>
        <w:numPr>
          <w:ilvl w:val="0"/>
          <w:numId w:val="1003"/>
        </w:numPr>
        <w:pStyle w:val="Compact"/>
      </w:pPr>
      <w:r>
        <w:rPr>
          <w:bCs/>
          <w:b/>
        </w:rPr>
        <w:t xml:space="preserve">SSX2IP</w:t>
      </w:r>
      <w:r>
        <w:t xml:space="preserve"> </w:t>
      </w:r>
      <w:r>
        <w:t xml:space="preserve">Afadin- and alpha-actinin-binding protein; Belongs to an adhesion system, which plays a role in the organization of homotypic, interneuronal and heterotypic cell-cell adherens junctions (AJs). May connect the nectin-afadin and E-cadherin- catenin system through alpha-actinin and may be involved in organization of the actin cytoskeleton at AJs through afadin and alpha- actinin (By similarity). [PMID: 25416956]</w:t>
      </w:r>
    </w:p>
    <w:p>
      <w:pPr>
        <w:numPr>
          <w:ilvl w:val="0"/>
          <w:numId w:val="1003"/>
        </w:numPr>
        <w:pStyle w:val="Compact"/>
      </w:pPr>
      <w:r>
        <w:rPr>
          <w:bCs/>
          <w:b/>
        </w:rPr>
        <w:t xml:space="preserve">SYT6</w:t>
      </w:r>
      <w:r>
        <w:t xml:space="preserve"> </w:t>
      </w:r>
      <w:r>
        <w:t xml:space="preserve">Synaptotagmin-6; May be involved in Ca(2+)-dependent exocytosis of secretory vesicles through Ca(2+) and phospholipid binding to the C2 domain or may serve as Ca(2+) sensors in the process of vesicular trafficking and exocytosis. May mediate Ca(2+)-regulation of exocytosis in acrosomal reaction in sperm (By similarity). [PMID: 32296183]</w:t>
      </w:r>
    </w:p>
    <w:p>
      <w:pPr>
        <w:numPr>
          <w:ilvl w:val="0"/>
          <w:numId w:val="1003"/>
        </w:numPr>
        <w:pStyle w:val="Compact"/>
      </w:pPr>
      <w:r>
        <w:rPr>
          <w:bCs/>
          <w:b/>
        </w:rPr>
        <w:t xml:space="preserve">TP53BP1</w:t>
      </w:r>
      <w:r>
        <w:t xml:space="preserve"> </w:t>
      </w:r>
      <w:r>
        <w:t xml:space="preserve">TP53-binding protein 1; Double-strand break (DSB) repair protein involved in response to DNA damage, telomere dynamics and class-switch recombination (CSR) during antibody genesis. Plays a key role in the repair of double-strand DNA breaks (DSBs) in response to DNA damage by promoting non-homologous end joining (NHEJ)- mediated repair of DSBs and specifically counteracting the function of the homologous recombination (HR) repair protein BRCA1. [PMID: 29656893]</w:t>
      </w:r>
    </w:p>
    <w:p>
      <w:pPr>
        <w:numPr>
          <w:ilvl w:val="0"/>
          <w:numId w:val="1003"/>
        </w:numPr>
        <w:pStyle w:val="Compact"/>
      </w:pPr>
      <w:r>
        <w:rPr>
          <w:bCs/>
          <w:b/>
        </w:rPr>
        <w:t xml:space="preserve">GNPTAB</w:t>
      </w:r>
      <w:r>
        <w:t xml:space="preserve"> </w:t>
      </w:r>
      <w:r>
        <w:t xml:space="preserve">N-acetylglucosamine-1-phosphotransferase subunits alpha/beta; Catalyzes the formation of mannose 6-phosphate (M6P) markers on high mannose type oligosaccharides in the Golgi apparatus. M6P residues are required to bind to the M6P receptors (MPR), which mediate the vesicular transport of lysosomal enzymes to the endosomal/prelysosomal compartment. [PMID: 25416956]</w:t>
      </w:r>
    </w:p>
    <w:p>
      <w:pPr>
        <w:numPr>
          <w:ilvl w:val="0"/>
          <w:numId w:val="1003"/>
        </w:numPr>
        <w:pStyle w:val="Compact"/>
      </w:pPr>
      <w:r>
        <w:rPr>
          <w:bCs/>
          <w:b/>
        </w:rPr>
        <w:t xml:space="preserve">TRIM27</w:t>
      </w:r>
      <w:r>
        <w:t xml:space="preserve"> </w:t>
      </w:r>
      <w:r>
        <w:t xml:space="preserve">Zinc finger protein RFP; E3 ubiquitin-protein ligase that mediates ubiquitination of PIK3C2B and inhibits its activity; mediates the formation of</w:t>
      </w:r>
      <w:r>
        <w:t xml:space="preserve"> </w:t>
      </w:r>
      <w:r>
        <w:t xml:space="preserve">‘</w:t>
      </w:r>
      <w:r>
        <w:t xml:space="preserve">Lys-48</w:t>
      </w:r>
      <w:r>
        <w:t xml:space="preserve">’</w:t>
      </w:r>
      <w:r>
        <w:t xml:space="preserve">- linked polyubiquitin chains; the function inhibits CD4 T-cell activation. Acts as a regulator of retrograde transport: together with MAGEL2, mediates the formation of</w:t>
      </w:r>
      <w:r>
        <w:t xml:space="preserve"> </w:t>
      </w:r>
      <w:r>
        <w:t xml:space="preserve">‘</w:t>
      </w:r>
      <w:r>
        <w:t xml:space="preserve">Lys-63</w:t>
      </w:r>
      <w:r>
        <w:t xml:space="preserve">’</w:t>
      </w:r>
      <w:r>
        <w:t xml:space="preserve">-linked polyubiquitin chains at</w:t>
      </w:r>
      <w:r>
        <w:t xml:space="preserve"> </w:t>
      </w:r>
      <w:r>
        <w:t xml:space="preserve">‘</w:t>
      </w:r>
      <w:r>
        <w:t xml:space="preserve">Lys-220</w:t>
      </w:r>
      <w:r>
        <w:t xml:space="preserve">’</w:t>
      </w:r>
      <w:r>
        <w:t xml:space="preserve"> </w:t>
      </w:r>
      <w:r>
        <w:t xml:space="preserve">of WASHC1, leading to promote endosomal F-actin assembly. Has a transcriptional repressor activity by cooperating with EPC1. [PMID: 25416956]</w:t>
      </w:r>
    </w:p>
    <w:p>
      <w:pPr>
        <w:numPr>
          <w:ilvl w:val="0"/>
          <w:numId w:val="1003"/>
        </w:numPr>
        <w:pStyle w:val="Compact"/>
      </w:pPr>
      <w:r>
        <w:rPr>
          <w:bCs/>
          <w:b/>
        </w:rPr>
        <w:t xml:space="preserve">TRIM41</w:t>
      </w:r>
      <w:r>
        <w:t xml:space="preserve"> </w:t>
      </w:r>
      <w:r>
        <w:t xml:space="preserve">E3 ubiquitin-protein ligase TRIM41; Functions as an E3 ligase that catalyzes the ubiquitin- mediated degradation of protein kinase C. Belongs to the TRIM/RBCC family. [PMID: 25416956]</w:t>
      </w:r>
    </w:p>
    <w:p>
      <w:pPr>
        <w:numPr>
          <w:ilvl w:val="0"/>
          <w:numId w:val="1003"/>
        </w:numPr>
        <w:pStyle w:val="Compact"/>
      </w:pPr>
      <w:r>
        <w:rPr>
          <w:bCs/>
          <w:b/>
        </w:rPr>
        <w:t xml:space="preserve">ZBTB43</w:t>
      </w:r>
      <w:r>
        <w:t xml:space="preserve"> </w:t>
      </w:r>
      <w:r>
        <w:t xml:space="preserve">Zinc finger and BTB domain-containing protein 43; May be involved in transcriptional regulation; Belongs to the krueppel C2H2-type zinc-finger protein family. [PMID: 25416956]</w:t>
      </w:r>
    </w:p>
    <w:p>
      <w:pPr>
        <w:numPr>
          <w:ilvl w:val="0"/>
          <w:numId w:val="1003"/>
        </w:numPr>
        <w:pStyle w:val="Compact"/>
      </w:pPr>
      <w:r>
        <w:rPr>
          <w:bCs/>
          <w:b/>
        </w:rPr>
        <w:t xml:space="preserve">ZBTB8A</w:t>
      </w:r>
      <w:r>
        <w:t xml:space="preserve"> </w:t>
      </w:r>
      <w:r>
        <w:t xml:space="preserve">Zinc finger and BTB domain-containing protein 8A; May be involved in transcriptional regulation. [PMID: 25416956]</w:t>
      </w:r>
    </w:p>
    <w:p>
      <w:pPr>
        <w:numPr>
          <w:ilvl w:val="0"/>
          <w:numId w:val="1003"/>
        </w:numPr>
        <w:pStyle w:val="Compact"/>
      </w:pPr>
      <w:r>
        <w:rPr>
          <w:bCs/>
          <w:b/>
        </w:rPr>
        <w:t xml:space="preserve">ENG</w:t>
      </w:r>
      <w:r>
        <w:t xml:space="preserve"> </w:t>
      </w:r>
      <w:r>
        <w:t xml:space="preserve">Endoglin; Vascular endothelium glycoprotein that plays an important role in the regulation of angiogenesis. Required for normal structure and integrity of adult vasculature. Regulates the migration of vascular endothelial cells. Required for normal extraembryonic angiogenesis and for embryonic heart development (By similarity). May regulate endothelial cell shape changes in response to blood flow, which drive vascular remodeling and establishment of normal vascular morphology during angiogenesis (By similarity). [PMID: 31540324]</w:t>
      </w:r>
    </w:p>
    <w:p>
      <w:pPr>
        <w:numPr>
          <w:ilvl w:val="0"/>
          <w:numId w:val="1003"/>
        </w:numPr>
        <w:pStyle w:val="Compact"/>
      </w:pPr>
      <w:r>
        <w:rPr>
          <w:bCs/>
          <w:b/>
        </w:rPr>
        <w:t xml:space="preserve">EMD</w:t>
      </w:r>
      <w:r>
        <w:t xml:space="preserve"> </w:t>
      </w:r>
      <w:r>
        <w:t xml:space="preserve">Emerin; Stabilizes and promotes the formation of a nuclear actin cortical network. Stimulates actin polymerization in vitro by binding and stabilizing the pointed end of growing filaments. Inhibits beta- catenin activity by preventing its accumulation in the nucleus. Acts by influencing the nuclear accumulation of beta-catenin through a CRM1- dependent export pathway. Links centrosomes to the nuclear envelope via a microtubule association. EMD and BAF are cooperative cofactors of HIV-1 infection. Association of EMD with the viral DNA requires the presence of BAF and viral integrase. [PMID: 25416956]</w:t>
      </w:r>
    </w:p>
    <w:p>
      <w:pPr>
        <w:numPr>
          <w:ilvl w:val="0"/>
          <w:numId w:val="1003"/>
        </w:numPr>
        <w:pStyle w:val="Compact"/>
      </w:pPr>
      <w:r>
        <w:rPr>
          <w:bCs/>
          <w:b/>
        </w:rPr>
        <w:t xml:space="preserve">ZNF408</w:t>
      </w:r>
      <w:r>
        <w:t xml:space="preserve"> </w:t>
      </w:r>
      <w:r>
        <w:t xml:space="preserve">Zinc finger protein 408; May be involved in transcriptional regulation. [PMID: 32296183]</w:t>
      </w:r>
    </w:p>
    <w:p>
      <w:pPr>
        <w:numPr>
          <w:ilvl w:val="0"/>
          <w:numId w:val="1003"/>
        </w:numPr>
        <w:pStyle w:val="Compact"/>
      </w:pPr>
      <w:r>
        <w:rPr>
          <w:bCs/>
          <w:b/>
        </w:rPr>
        <w:t xml:space="preserve">RALYL</w:t>
      </w:r>
      <w:r>
        <w:t xml:space="preserve"> </w:t>
      </w:r>
      <w:r>
        <w:t xml:space="preserve">RNA-binding Raly-like protein; RALY RNA binding protein like. [PMID: 25416956]</w:t>
      </w:r>
    </w:p>
    <w:p>
      <w:pPr>
        <w:numPr>
          <w:ilvl w:val="0"/>
          <w:numId w:val="1003"/>
        </w:numPr>
        <w:pStyle w:val="Compact"/>
      </w:pPr>
      <w:r>
        <w:rPr>
          <w:bCs/>
          <w:b/>
        </w:rPr>
        <w:t xml:space="preserve">PPID</w:t>
      </w:r>
      <w:r>
        <w:t xml:space="preserve"> </w:t>
      </w:r>
      <w:r>
        <w:t xml:space="preserve">Peptidyl-prolyl cis-trans isomerase D; PPIase that catalyzes the cis-trans isomerization of proline imidic peptide bonds in oligopeptides and may therefore assist protein folding. Proposed to act as a co- chaperone in HSP90 complexes such as in unligated steroid receptors heterocomplexes. Different co-chaperones seem to compete for association with HSP90 thus establishing distinct HSP90-co-chaperone- receptor complexes with the potential to exert tissue-specific receptor activity control. [PMID: 28514442]</w:t>
      </w:r>
    </w:p>
    <w:p>
      <w:pPr>
        <w:numPr>
          <w:ilvl w:val="0"/>
          <w:numId w:val="1003"/>
        </w:numPr>
        <w:pStyle w:val="Compact"/>
      </w:pPr>
      <w:r>
        <w:rPr>
          <w:bCs/>
          <w:b/>
        </w:rPr>
        <w:t xml:space="preserve">PKN1</w:t>
      </w:r>
      <w:r>
        <w:t xml:space="preserve"> </w:t>
      </w:r>
      <w:r>
        <w:t xml:space="preserve">Serine/threonine-protein kinase N1; PKC-related serine/threonine-protein kinase involved in various processes such as regulation of the intermediate filaments of the actin cytoskeleton, cell migration, tumor cell invasion and transcription regulation. Part of a signaling cascade that begins with the activation of the adrenergic receptor ADRA1B and leads to the activation of MAPK14. Regulates the cytoskeletal network by phosphorylating proteins such as VIM and neurofilament proteins NEFH, NEFL and NEFM, leading to inhibit their polymerization. [PMID: 28514442]</w:t>
      </w:r>
    </w:p>
    <w:p>
      <w:pPr>
        <w:numPr>
          <w:ilvl w:val="0"/>
          <w:numId w:val="1003"/>
        </w:numPr>
        <w:pStyle w:val="Compact"/>
      </w:pPr>
      <w:r>
        <w:rPr>
          <w:bCs/>
          <w:b/>
        </w:rPr>
        <w:t xml:space="preserve">PHC2</w:t>
      </w:r>
      <w:r>
        <w:t xml:space="preserve"> </w:t>
      </w:r>
      <w:r>
        <w:t xml:space="preserve">Polyhomeotic-like protein 2; Component of a Polycomb group (PcG) multiprotein PRC1-like complex, a complex class required to maintain the transcriptionally repressive state of many genes, including Hox genes, throughout development. PcG PRC1 complex acts via chromatin remodeling and modification of histones; it mediates monoubiquitination of histone H2A</w:t>
      </w:r>
      <w:r>
        <w:t xml:space="preserve"> </w:t>
      </w:r>
      <w:r>
        <w:t xml:space="preserve">‘</w:t>
      </w:r>
      <w:r>
        <w:t xml:space="preserve">Lys-119</w:t>
      </w:r>
      <w:r>
        <w:t xml:space="preserve">’</w:t>
      </w:r>
      <w:r>
        <w:t xml:space="preserve">, rendering chromatin heritably changed in its expressibility. [PMID: 25416956]</w:t>
      </w:r>
    </w:p>
    <w:p>
      <w:pPr>
        <w:numPr>
          <w:ilvl w:val="0"/>
          <w:numId w:val="1003"/>
        </w:numPr>
        <w:pStyle w:val="Compact"/>
      </w:pPr>
      <w:r>
        <w:rPr>
          <w:bCs/>
          <w:b/>
        </w:rPr>
        <w:t xml:space="preserve">IKZF1</w:t>
      </w:r>
      <w:r>
        <w:t xml:space="preserve"> </w:t>
      </w:r>
      <w:r>
        <w:t xml:space="preserve">DNA-binding protein Ikaros; Transcription regulator of hematopoietic cell differentiation. Binds gamma-satellite DNA. Plays a role in the development of lymphocytes, B- and T-cells. Binds and activates the enhancer (delta-A element) of the CD3-delta gene. Repressor of the TDT (fikzfterminal deoxynucleotidyltransferase) gene during thymocyte differentiation. Regulates transcription through association with both HDAC-dependent and HDAC-independent complexes. [PMID: 25416956]</w:t>
      </w:r>
    </w:p>
    <w:p>
      <w:pPr>
        <w:numPr>
          <w:ilvl w:val="0"/>
          <w:numId w:val="1003"/>
        </w:numPr>
        <w:pStyle w:val="Compact"/>
      </w:pPr>
      <w:r>
        <w:rPr>
          <w:bCs/>
          <w:b/>
        </w:rPr>
        <w:t xml:space="preserve">KANK2</w:t>
      </w:r>
      <w:r>
        <w:t xml:space="preserve"> </w:t>
      </w:r>
      <w:r>
        <w:t xml:space="preserve">KN motif and ankyrin repeat domain-containing protein 2; Involved in transcription regulation by sequestering in the cytoplasm nuclear receptor coactivators such as NCOA1, NCOA2 and NCOA3. Involved in regulation of caspase-independent apoptosis by sequestering the proapoptotic factor AIFM1 in mitochondria. Pro-apoptotic stimuli can induce its proteasomal degradation allowing the translocation of AIFM1 to the nucleus to induce apoptosis. Involved in the negative control of vitamin D receptor signaling pathway. [PMID: 32296183]</w:t>
      </w:r>
    </w:p>
    <w:p>
      <w:pPr>
        <w:numPr>
          <w:ilvl w:val="0"/>
          <w:numId w:val="1003"/>
        </w:numPr>
        <w:pStyle w:val="Compact"/>
      </w:pPr>
      <w:r>
        <w:rPr>
          <w:bCs/>
          <w:b/>
        </w:rPr>
        <w:t xml:space="preserve">KHDRBS2</w:t>
      </w:r>
      <w:r>
        <w:t xml:space="preserve"> </w:t>
      </w:r>
      <w:r>
        <w:t xml:space="preserve">KH domain-containing, RNA-binding, signal transduction-associated protein 2; RNA-binding protein that plays a role in the regulation of alternative splicing and influences mRNA splice site selection and exon inclusion. Binds both poly(A) and poly(U) homopolymers. Phosphorylation by PTK6 inhibits its RNA-binding ability (By similarity). Induces an increased concentration-dependent incorporation of exon in CD44 pre- mRNA by direct binding to purine-rich exonic enhancer. [PMID: 25416956]</w:t>
      </w:r>
    </w:p>
    <w:p>
      <w:pPr>
        <w:numPr>
          <w:ilvl w:val="0"/>
          <w:numId w:val="1003"/>
        </w:numPr>
        <w:pStyle w:val="Compact"/>
      </w:pPr>
      <w:r>
        <w:rPr>
          <w:bCs/>
          <w:b/>
        </w:rPr>
        <w:t xml:space="preserve">KRT40</w:t>
      </w:r>
      <w:r>
        <w:t xml:space="preserve"> </w:t>
      </w:r>
      <w:r>
        <w:t xml:space="preserve">Keratin, type I cytoskeletal 40; May play a role in late hair differentiation; Belongs to the intermediate filament family. [PMID: 25416956]</w:t>
      </w:r>
    </w:p>
    <w:p>
      <w:pPr>
        <w:numPr>
          <w:ilvl w:val="0"/>
          <w:numId w:val="1003"/>
        </w:numPr>
        <w:pStyle w:val="Compact"/>
      </w:pPr>
      <w:r>
        <w:rPr>
          <w:bCs/>
          <w:b/>
        </w:rPr>
        <w:t xml:space="preserve">KRTAP10-1</w:t>
      </w:r>
      <w:r>
        <w:t xml:space="preserve"> </w:t>
      </w:r>
      <w:r>
        <w:t xml:space="preserve">Keratin-associated protein 10-1;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[PMID: 25416956]</w:t>
      </w:r>
    </w:p>
    <w:p>
      <w:pPr>
        <w:numPr>
          <w:ilvl w:val="0"/>
          <w:numId w:val="1003"/>
        </w:numPr>
        <w:pStyle w:val="Compact"/>
      </w:pPr>
      <w:r>
        <w:rPr>
          <w:bCs/>
          <w:b/>
        </w:rPr>
        <w:t xml:space="preserve">KRTAP10-3</w:t>
      </w:r>
      <w:r>
        <w:t xml:space="preserve"> </w:t>
      </w:r>
      <w:r>
        <w:t xml:space="preserve">Keratin-associated protein 10-3;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[PMID: 25416956]</w:t>
      </w:r>
    </w:p>
    <w:p>
      <w:pPr>
        <w:numPr>
          <w:ilvl w:val="0"/>
          <w:numId w:val="1003"/>
        </w:numPr>
        <w:pStyle w:val="Compact"/>
      </w:pPr>
      <w:r>
        <w:rPr>
          <w:bCs/>
          <w:b/>
        </w:rPr>
        <w:t xml:space="preserve">KRTAP10-5</w:t>
      </w:r>
      <w:r>
        <w:t xml:space="preserve"> </w:t>
      </w:r>
      <w:r>
        <w:t xml:space="preserve">Keratin-associated protein 10-5;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25416956]</w:t>
      </w:r>
    </w:p>
    <w:p>
      <w:pPr>
        <w:numPr>
          <w:ilvl w:val="0"/>
          <w:numId w:val="1003"/>
        </w:numPr>
        <w:pStyle w:val="Compact"/>
      </w:pPr>
      <w:r>
        <w:rPr>
          <w:bCs/>
          <w:b/>
        </w:rPr>
        <w:t xml:space="preserve">KRTAP10-7</w:t>
      </w:r>
      <w:r>
        <w:t xml:space="preserve"> </w:t>
      </w:r>
      <w:r>
        <w:t xml:space="preserve">Keratin-associated protein 10-7;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25416956]</w:t>
      </w:r>
    </w:p>
    <w:p>
      <w:pPr>
        <w:numPr>
          <w:ilvl w:val="0"/>
          <w:numId w:val="1003"/>
        </w:numPr>
        <w:pStyle w:val="Compact"/>
      </w:pPr>
      <w:r>
        <w:rPr>
          <w:bCs/>
          <w:b/>
        </w:rPr>
        <w:t xml:space="preserve">KRTAP10-8</w:t>
      </w:r>
      <w:r>
        <w:t xml:space="preserve"> </w:t>
      </w:r>
      <w:r>
        <w:t xml:space="preserve">Keratin-associated protein 10-8;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25416956]</w:t>
      </w:r>
    </w:p>
    <w:p>
      <w:pPr>
        <w:numPr>
          <w:ilvl w:val="0"/>
          <w:numId w:val="1003"/>
        </w:numPr>
        <w:pStyle w:val="Compact"/>
      </w:pPr>
      <w:r>
        <w:rPr>
          <w:bCs/>
          <w:b/>
        </w:rPr>
        <w:t xml:space="preserve">EXOSC8</w:t>
      </w:r>
      <w:r>
        <w:t xml:space="preserve"> </w:t>
      </w:r>
      <w:r>
        <w:t xml:space="preserve">Exosome complex component RRP43; Non-catalytic component of the RNA exosome complex which has 3’-&gt;5’ exoribonuclease activity and participates in a multitude of cellular RNA processing and degradation events. [PMID: 25416956]</w:t>
      </w:r>
    </w:p>
    <w:p>
      <w:pPr>
        <w:numPr>
          <w:ilvl w:val="0"/>
          <w:numId w:val="1003"/>
        </w:numPr>
        <w:pStyle w:val="Compact"/>
      </w:pPr>
      <w:r>
        <w:rPr>
          <w:bCs/>
          <w:b/>
        </w:rPr>
        <w:t xml:space="preserve">MBNL1</w:t>
      </w:r>
      <w:r>
        <w:t xml:space="preserve"> </w:t>
      </w:r>
      <w:r>
        <w:t xml:space="preserve">Muscleblind-like protein 1; Mediates pre-mRNA alternative splicing regulation. Acts either as activator or repressor of splicing on specific pre-mRNA targets. Inhibits cardiac troponin-T (TNNT2) pre-mRNA exon inclusion but induces insulin receptor (IR) pre-mRNA exon inclusion in muscle. Antagonizes the alternative splicing activity pattern of CELF proteins. Regulates the TNNT2 exon 5 skipping through competition with U2AF2. Inhibits the formation of the spliceosome A complex on intron 4 of TNNT2 pre-mRNA. [PMID: 25416956]</w:t>
      </w:r>
    </w:p>
    <w:p>
      <w:pPr>
        <w:numPr>
          <w:ilvl w:val="0"/>
          <w:numId w:val="1003"/>
        </w:numPr>
        <w:pStyle w:val="Compact"/>
      </w:pPr>
      <w:r>
        <w:rPr>
          <w:bCs/>
          <w:b/>
        </w:rPr>
        <w:t xml:space="preserve">MID2</w:t>
      </w:r>
      <w:r>
        <w:t xml:space="preserve"> </w:t>
      </w:r>
      <w:r>
        <w:t xml:space="preserve">Probable E3 ubiquitin-protein ligase MID2; May play a role in microtubule stabilization. Belongs to the TRIM/RBCC family. [PMID: 25416956]</w:t>
      </w:r>
    </w:p>
    <w:p>
      <w:pPr>
        <w:numPr>
          <w:ilvl w:val="0"/>
          <w:numId w:val="1003"/>
        </w:numPr>
        <w:pStyle w:val="Compact"/>
      </w:pPr>
      <w:r>
        <w:rPr>
          <w:bCs/>
          <w:b/>
        </w:rPr>
        <w:t xml:space="preserve">MTUS2</w:t>
      </w:r>
      <w:r>
        <w:t xml:space="preserve"> </w:t>
      </w:r>
      <w:r>
        <w:t xml:space="preserve">Microtubule-associated tumor suppressor candidate 2; Binds microtubules. Together with MAPRE1 may target the microtubule depolymerase KIF2C to the plus-end of microtubules. May regulate the dynamics of microtubules at their growing distal tip. In the C-terminal section; belongs to the MTUS1 family. [PMID: 25416956]</w:t>
      </w:r>
    </w:p>
    <w:p>
      <w:pPr>
        <w:numPr>
          <w:ilvl w:val="0"/>
          <w:numId w:val="1003"/>
        </w:numPr>
        <w:pStyle w:val="Compact"/>
      </w:pPr>
      <w:r>
        <w:rPr>
          <w:bCs/>
          <w:b/>
        </w:rPr>
        <w:t xml:space="preserve">NKX3-1</w:t>
      </w:r>
      <w:r>
        <w:t xml:space="preserve"> </w:t>
      </w:r>
      <w:r>
        <w:t xml:space="preserve">Homeobox protein Nkx-3.1; Transcription factor, which binds preferentially the consensus sequence 5’-TAAGT[AG]-3’ and can behave as a transcriptional repressor. Plays an important role in normal prostate development, regulating proliferation of glandular epithelium and in the formation of ducts in prostate. Acts as a tumor suppressor controlling prostate carcinogenesis, as shown by the ability to inhibit proliferation and invasion activities of PC-3 prostate cancer cells. Belongs to the NK-3 homeobox family. [PMID: 18816836]</w:t>
      </w:r>
    </w:p>
    <w:p>
      <w:pPr>
        <w:numPr>
          <w:ilvl w:val="0"/>
          <w:numId w:val="1003"/>
        </w:numPr>
        <w:pStyle w:val="Compact"/>
      </w:pPr>
      <w:r>
        <w:rPr>
          <w:bCs/>
          <w:b/>
        </w:rPr>
        <w:t xml:space="preserve">CRIP2</w:t>
      </w:r>
      <w:r>
        <w:t xml:space="preserve"> </w:t>
      </w:r>
      <w:r>
        <w:t xml:space="preserve">Cysteine rich protein 2. [PMID: 28514442]</w:t>
      </w:r>
    </w:p>
    <w:p>
      <w:pPr>
        <w:numPr>
          <w:ilvl w:val="0"/>
          <w:numId w:val="1003"/>
        </w:numPr>
        <w:pStyle w:val="Compact"/>
      </w:pPr>
      <w:r>
        <w:rPr>
          <w:bCs/>
          <w:b/>
        </w:rPr>
        <w:t xml:space="preserve">PDE4DIP</w:t>
      </w:r>
      <w:r>
        <w:t xml:space="preserve"> </w:t>
      </w:r>
      <w:r>
        <w:t xml:space="preserve">Myomegalin; Functions as an anchor sequestering components of the cAMP- dependent pathway to Golgi and/or centrosomes (By similarity). [PMID: 25416956]</w:t>
      </w:r>
    </w:p>
    <w:bookmarkEnd w:id="24"/>
    <w:bookmarkEnd w:id="25"/>
    <w:bookmarkStart w:id="38"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0">
        <w:r>
          <w:rPr>
            <w:rStyle w:val="Hyperlink"/>
          </w:rPr>
          <w:t xml:space="preserve">https://www.genecards.org/cgi-bin/carddisp.pl?gene=AEN</w:t>
        </w:r>
      </w:hyperlink>
    </w:p>
    <w:p>
      <w:pPr>
        <w:numPr>
          <w:ilvl w:val="0"/>
          <w:numId w:val="1004"/>
        </w:numPr>
        <w:pStyle w:val="Compact"/>
      </w:pPr>
      <w:r>
        <w:t xml:space="preserve">Harmonizome (human):</w:t>
      </w:r>
      <w:r>
        <w:t xml:space="preserve"> </w:t>
      </w:r>
      <w:hyperlink r:id="rId26">
        <w:r>
          <w:rPr>
            <w:rStyle w:val="Hyperlink"/>
          </w:rPr>
          <w:t xml:space="preserve">https://maayanlab.cloud/Harmonizome/gene/AEN</w:t>
        </w:r>
      </w:hyperlink>
    </w:p>
    <w:p>
      <w:pPr>
        <w:numPr>
          <w:ilvl w:val="0"/>
          <w:numId w:val="1004"/>
        </w:numPr>
        <w:pStyle w:val="Compact"/>
      </w:pPr>
      <w:r>
        <w:t xml:space="preserve">NCBI (human):</w:t>
      </w:r>
      <w:r>
        <w:t xml:space="preserve"> </w:t>
      </w:r>
      <w:hyperlink r:id="rId27">
        <w:r>
          <w:rPr>
            <w:rStyle w:val="Hyperlink"/>
          </w:rPr>
          <w:t xml:space="preserve">https://www.ncbi.nlm.nih.gov/gene/64782</w:t>
        </w:r>
      </w:hyperlink>
    </w:p>
    <w:p>
      <w:pPr>
        <w:numPr>
          <w:ilvl w:val="0"/>
          <w:numId w:val="1004"/>
        </w:numPr>
        <w:pStyle w:val="Compact"/>
      </w:pPr>
      <w:r>
        <w:t xml:space="preserve">NCBI (rat):</w:t>
      </w:r>
      <w:r>
        <w:t xml:space="preserve"> </w:t>
      </w:r>
      <w:hyperlink r:id="rId28">
        <w:r>
          <w:rPr>
            <w:rStyle w:val="Hyperlink"/>
          </w:rPr>
          <w:t xml:space="preserve">https://www.ncbi.nlm.nih.gov/gene/361594</w:t>
        </w:r>
      </w:hyperlink>
    </w:p>
    <w:p>
      <w:pPr>
        <w:numPr>
          <w:ilvl w:val="0"/>
          <w:numId w:val="1004"/>
        </w:numPr>
        <w:pStyle w:val="Compact"/>
      </w:pPr>
      <w:r>
        <w:t xml:space="preserve">Ensemble (human):</w:t>
      </w:r>
      <w:r>
        <w:t xml:space="preserve"> </w:t>
      </w:r>
      <w:hyperlink r:id="rId29">
        <w:r>
          <w:rPr>
            <w:rStyle w:val="Hyperlink"/>
          </w:rPr>
          <w:t xml:space="preserve">https://useast.ensembl.org/Homo_sapiens/Gene/Summary?g=ENSG00000181026</w:t>
        </w:r>
      </w:hyperlink>
    </w:p>
    <w:p>
      <w:pPr>
        <w:numPr>
          <w:ilvl w:val="0"/>
          <w:numId w:val="1004"/>
        </w:numPr>
        <w:pStyle w:val="Compact"/>
      </w:pPr>
      <w:r>
        <w:t xml:space="preserve">Ensemble (rat):</w:t>
      </w:r>
      <w:r>
        <w:t xml:space="preserve"> </w:t>
      </w:r>
      <w:hyperlink r:id="rId30">
        <w:r>
          <w:rPr>
            <w:rStyle w:val="Hyperlink"/>
          </w:rPr>
          <w:t xml:space="preserve">https://useast.ensembl.org/Rattus_norvegicus/Gene/Summary?g=ENSRNOG00000018421</w:t>
        </w:r>
      </w:hyperlink>
    </w:p>
    <w:p>
      <w:pPr>
        <w:numPr>
          <w:ilvl w:val="0"/>
          <w:numId w:val="1004"/>
        </w:numPr>
        <w:pStyle w:val="Compact"/>
      </w:pPr>
      <w:r>
        <w:t xml:space="preserve">Rat Genome Database (rat):</w:t>
      </w:r>
      <w:r>
        <w:t xml:space="preserve"> </w:t>
      </w:r>
      <w:hyperlink r:id="rId31">
        <w:r>
          <w:rPr>
            <w:rStyle w:val="Hyperlink"/>
          </w:rPr>
          <w:t xml:space="preserve">https://rgd.mcw.edu/rgdweb/report/gene/main.html?id=1305051</w:t>
        </w:r>
      </w:hyperlink>
    </w:p>
    <w:p>
      <w:pPr>
        <w:numPr>
          <w:ilvl w:val="0"/>
          <w:numId w:val="1004"/>
        </w:numPr>
        <w:pStyle w:val="Compact"/>
      </w:pPr>
      <w:r>
        <w:t xml:space="preserve">Uniprot (human):</w:t>
      </w:r>
      <w:r>
        <w:t xml:space="preserve"> </w:t>
      </w:r>
      <w:hyperlink r:id="rId32">
        <w:r>
          <w:rPr>
            <w:rStyle w:val="Hyperlink"/>
          </w:rPr>
          <w:t xml:space="preserve">https://www.uniprot.org/uniprotkb/Q8WTP8</w:t>
        </w:r>
      </w:hyperlink>
    </w:p>
    <w:p>
      <w:pPr>
        <w:numPr>
          <w:ilvl w:val="0"/>
          <w:numId w:val="1004"/>
        </w:numPr>
        <w:pStyle w:val="Compact"/>
      </w:pPr>
      <w:r>
        <w:t xml:space="preserve">Uniprot (rat):</w:t>
      </w:r>
      <w:r>
        <w:t xml:space="preserve"> </w:t>
      </w:r>
      <w:hyperlink r:id="rId33">
        <w:r>
          <w:rPr>
            <w:rStyle w:val="Hyperlink"/>
          </w:rPr>
          <w:t xml:space="preserve">https://www.uniprot.org/uniprotkb/B2GUW6</w:t>
        </w:r>
      </w:hyperlink>
    </w:p>
    <w:p>
      <w:pPr>
        <w:numPr>
          <w:ilvl w:val="0"/>
          <w:numId w:val="1004"/>
        </w:numPr>
        <w:pStyle w:val="Compact"/>
      </w:pPr>
      <w:r>
        <w:t xml:space="preserve">Wikigenes (human):</w:t>
      </w:r>
      <w:r>
        <w:t xml:space="preserve"> </w:t>
      </w:r>
      <w:hyperlink r:id="rId34">
        <w:r>
          <w:rPr>
            <w:rStyle w:val="Hyperlink"/>
          </w:rPr>
          <w:t xml:space="preserve">https://www.wikigenes.org/e/gene/e/64782.html</w:t>
        </w:r>
      </w:hyperlink>
    </w:p>
    <w:p>
      <w:pPr>
        <w:numPr>
          <w:ilvl w:val="0"/>
          <w:numId w:val="1004"/>
        </w:numPr>
        <w:pStyle w:val="Compact"/>
      </w:pPr>
      <w:r>
        <w:t xml:space="preserve">Wikigenes (rat):</w:t>
      </w:r>
      <w:r>
        <w:t xml:space="preserve"> </w:t>
      </w:r>
      <w:hyperlink r:id="rId35">
        <w:r>
          <w:rPr>
            <w:rStyle w:val="Hyperlink"/>
          </w:rPr>
          <w:t xml:space="preserve">https://www.wikigenes.org/e/gene/e/361594.html</w:t>
        </w:r>
      </w:hyperlink>
    </w:p>
    <w:p>
      <w:pPr>
        <w:numPr>
          <w:ilvl w:val="0"/>
          <w:numId w:val="1004"/>
        </w:numPr>
        <w:pStyle w:val="Compact"/>
      </w:pPr>
      <w:r>
        <w:t xml:space="preserve">Alphafold (human):</w:t>
      </w:r>
      <w:r>
        <w:t xml:space="preserve"> </w:t>
      </w:r>
      <w:hyperlink r:id="rId36">
        <w:r>
          <w:rPr>
            <w:rStyle w:val="Hyperlink"/>
          </w:rPr>
          <w:t xml:space="preserve">https://alphafold.ebi.ac.uk/entry/Q8WTP8</w:t>
        </w:r>
      </w:hyperlink>
    </w:p>
    <w:p>
      <w:pPr>
        <w:numPr>
          <w:ilvl w:val="0"/>
          <w:numId w:val="1004"/>
        </w:numPr>
        <w:pStyle w:val="Compact"/>
      </w:pPr>
      <w:r>
        <w:t xml:space="preserve">Alphafold (rat):</w:t>
      </w:r>
      <w:r>
        <w:t xml:space="preserve"> </w:t>
      </w:r>
      <w:hyperlink r:id="rId37">
        <w:r>
          <w:rPr>
            <w:rStyle w:val="Hyperlink"/>
          </w:rPr>
          <w:t xml:space="preserve">https://alphafold.ebi.ac.uk/entry/B2GUW6</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8"/>
    <w:bookmarkStart w:id="51" w:name="X7887dc63a354b4d974b09bbc1761dfdcf7e455e"/>
    <w:p>
      <w:pPr>
        <w:pStyle w:val="Heading1"/>
      </w:pPr>
      <w:r>
        <w:t xml:space="preserve">6. GO Terms, MSigDB Signatures, Pathways Containing Gene with Descriptions of Gene Sets</w:t>
      </w:r>
    </w:p>
    <w:bookmarkStart w:id="39" w:name="pathways"/>
    <w:p>
      <w:pPr>
        <w:pStyle w:val="Heading2"/>
      </w:pPr>
      <w:r>
        <w:t xml:space="preserve">Pathways:</w:t>
      </w:r>
    </w:p>
    <w:p>
      <w:pPr>
        <w:pStyle w:val="FirstParagraph"/>
      </w:pPr>
      <w:r>
        <w:rPr>
          <w:bCs/>
          <w:b/>
        </w:rPr>
        <w:t xml:space="preserve">Genotoxicity pathway:</w:t>
      </w:r>
      <w:r>
        <w:t xml:space="preserve"> </w:t>
      </w:r>
      <w:r>
        <w:t xml:space="preserve">This pathway describes the transcriptomic biomarker TGx-DDI genotoxicity assay (consisting of 64 genes) developed to readily distinguish DNA damage-inducing (DDI) agents from non-DDI agents [PMID: 29203651, https://pubchem.ncbi.nlm.nih.gov/pathway/WikiPathways:WP4286].</w:t>
      </w:r>
    </w:p>
    <w:p>
      <w:pPr>
        <w:pStyle w:val="BodyText"/>
      </w:pPr>
      <w:r>
        <w:rPr>
          <w:bCs/>
          <w:b/>
        </w:rPr>
        <w:t xml:space="preserve">p53-dependent cell death pathway:</w:t>
      </w:r>
      <w:r>
        <w:t xml:space="preserve"> </w:t>
      </w:r>
      <w:r>
        <w:t xml:space="preserve">ISG20L1 is a p53 family target gene that modulates genotoxic stress-induced autophagy. The transcription of ISG20L1 can be regulated by all three p53 family members (p53, p63, and p73) [PMID: 20429933]. There is a strong induction of ISG20L1 (also known as AEN) expression in several cancer cell lines under exposure of arsenite and other chemotherapeutic agents. ISG20L1 functioned as upstream activator of p53 by interacting with DAPK1, and plays an essential role in promoting DAPK1-p53 complex formation and the subsequent activation of Ets-1/IKKβ/MDM2/GADD45α cascade. ISG20L1 acts as a co-activator of DAPK1 in the activation of the p53-dependent cell death pathway [PMID: 36855954].</w:t>
      </w:r>
    </w:p>
    <w:bookmarkEnd w:id="39"/>
    <w:bookmarkStart w:id="40" w:name="go-terms"/>
    <w:p>
      <w:pPr>
        <w:pStyle w:val="Heading2"/>
      </w:pPr>
      <w:r>
        <w:t xml:space="preserve">GO terms:</w:t>
      </w:r>
    </w:p>
    <w:p>
      <w:pPr>
        <w:pStyle w:val="FirstParagraph"/>
      </w:pPr>
      <w:r>
        <w:rPr>
          <w:bCs/>
          <w:b/>
        </w:rPr>
        <w:t xml:space="preserve">DNA metabolic process</w:t>
      </w:r>
      <w:r>
        <w:t xml:space="preserve"> </w:t>
      </w:r>
      <w:r>
        <w:t xml:space="preserve">[Any cellular metabolic process involving deoxyribonucleic acid. This is one of the two main types of nucleic acid, consisting of a long, unbranched macromolecule formed from one, or more commonly, two, strands of linked deoxyribonucleotides. GO:0006259]</w:t>
      </w:r>
    </w:p>
    <w:p>
      <w:pPr>
        <w:pStyle w:val="BodyText"/>
      </w:pPr>
      <w:r>
        <w:rPr>
          <w:bCs/>
          <w:b/>
        </w:rPr>
        <w:t xml:space="preserve">RNA processing</w:t>
      </w:r>
      <w:r>
        <w:t xml:space="preserve"> </w:t>
      </w:r>
      <w:r>
        <w:t xml:space="preserve">[Any process involved in the conversion of one or more primary RNA transcripts into one or more mature RNA molecules. GO:0006396]</w:t>
      </w:r>
    </w:p>
    <w:p>
      <w:pPr>
        <w:pStyle w:val="BodyText"/>
      </w:pPr>
      <w:r>
        <w:rPr>
          <w:bCs/>
          <w:b/>
        </w:rPr>
        <w:t xml:space="preserve">intrinsic apoptotic signaling pathway in response to DNA damage by p53 class mediator</w:t>
      </w:r>
      <w:r>
        <w:t xml:space="preserve"> </w:t>
      </w:r>
      <w:r>
        <w:t xml:space="preserve">[The series of molecular signals in which an intracellular signal is conveyed to trigger the apoptotic death of a cell. The pathway is induced by the cell cycle regulator phosphoprotein p53, or an equivalent protein, in response to the detection of DNA damage, and ends when the execution phase of apoptosis is triggered. GO:0042771]</w:t>
      </w:r>
    </w:p>
    <w:p>
      <w:pPr>
        <w:pStyle w:val="BodyText"/>
      </w:pPr>
      <w:r>
        <w:rPr>
          <w:bCs/>
          <w:b/>
        </w:rPr>
        <w:t xml:space="preserve">response to ionizing radiation</w:t>
      </w:r>
      <w:r>
        <w:t xml:space="preserve"> </w:t>
      </w:r>
      <w:r>
        <w:t xml:space="preserve">[Any process that results in a change in state or activity of a cell or an organism (in terms of movement, secretion, enzyme production, gene expression, etc.) as a result of a ionizing radiation stimulus. Ionizing radiation is radiation with sufficient energy to remove electrons from atoms and may arise from spontaneous decay of unstable isotopes, resulting in alpha and beta particles and gamma rays. Ionizing radiation also includes X-rays. GO:0010212]</w:t>
      </w:r>
    </w:p>
    <w:bookmarkEnd w:id="40"/>
    <w:bookmarkStart w:id="50" w:name="msigdb-signatures"/>
    <w:p>
      <w:pPr>
        <w:pStyle w:val="Heading2"/>
      </w:pPr>
      <w:r>
        <w:t xml:space="preserve">MSigDB Signatures:</w:t>
      </w:r>
    </w:p>
    <w:p>
      <w:pPr>
        <w:pStyle w:val="FirstParagraph"/>
      </w:pPr>
      <w:r>
        <w:rPr>
          <w:bCs/>
          <w:b/>
        </w:rPr>
        <w:t xml:space="preserve">BENPORATH_ES_1</w:t>
      </w:r>
      <w:r>
        <w:t xml:space="preserve">: Set</w:t>
      </w:r>
      <w:r>
        <w:t xml:space="preserve"> </w:t>
      </w:r>
      <w:r>
        <w:t xml:space="preserve">‘</w:t>
      </w:r>
      <w:r>
        <w:t xml:space="preserve">ES exp1</w:t>
      </w:r>
      <w:r>
        <w:t xml:space="preserve">’</w:t>
      </w:r>
      <w:r>
        <w:t xml:space="preserve">: genes overexpressed in human embryonic stem cells according to 5 or more out of 20 profiling studies.</w:t>
      </w:r>
      <w:r>
        <w:t xml:space="preserve"> </w:t>
      </w:r>
      <w:hyperlink r:id="rId41">
        <w:r>
          <w:rPr>
            <w:rStyle w:val="Hyperlink"/>
          </w:rPr>
          <w:t xml:space="preserve">[https://www.gsea-msigdb.org/gsea/msigdb/human/geneset/BENPORATH_ES_1.html]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42">
        <w:r>
          <w:rPr>
            <w:rStyle w:val="Hyperlink"/>
          </w:rPr>
          <w:t xml:space="preserve">[https://www.gsea-msigdb.org/gsea/msigdb/human/geneset/DODD_NASOPHARYNGEAL_CARCINOMA_UP.html]</w:t>
        </w:r>
      </w:hyperlink>
    </w:p>
    <w:p>
      <w:pPr>
        <w:pStyle w:val="BodyText"/>
      </w:pPr>
      <w:r>
        <w:rPr>
          <w:bCs/>
          <w:b/>
        </w:rPr>
        <w:t xml:space="preserve">FISCHER_DIRECT_P53_TARGETS_META_ANALYSIS</w:t>
      </w:r>
      <w:r>
        <w:t xml:space="preserve">: Genes directly bound and regulated by TP53[GeneID=7157].</w:t>
      </w:r>
      <w:r>
        <w:t xml:space="preserve"> </w:t>
      </w:r>
      <w:hyperlink r:id="rId43">
        <w:r>
          <w:rPr>
            <w:rStyle w:val="Hyperlink"/>
          </w:rPr>
          <w:t xml:space="preserve">[https://www.gsea-msigdb.org/gsea/msigdb/human/geneset/FISCHER_DIRECT_P53_TARGETS_META_ANALYSIS.html]</w:t>
        </w:r>
      </w:hyperlink>
    </w:p>
    <w:p>
      <w:pPr>
        <w:pStyle w:val="BodyText"/>
      </w:pPr>
      <w:r>
        <w:rPr>
          <w:bCs/>
          <w:b/>
        </w:rPr>
        <w:t xml:space="preserve">FISCHER_DREAM_TARGETS</w:t>
      </w:r>
      <w:r>
        <w:t xml:space="preserve">: Target genes of the DREAM complex.</w:t>
      </w:r>
      <w:r>
        <w:t xml:space="preserve"> </w:t>
      </w:r>
      <w:hyperlink r:id="rId44">
        <w:r>
          <w:rPr>
            <w:rStyle w:val="Hyperlink"/>
          </w:rPr>
          <w:t xml:space="preserve">[https://www.gsea-msigdb.org/gsea/msigdb/human/geneset/FISCHER_DREAM_TARGETS.html]</w:t>
        </w:r>
      </w:hyperlink>
    </w:p>
    <w:p>
      <w:pPr>
        <w:pStyle w:val="BodyText"/>
      </w:pPr>
      <w:r>
        <w:rPr>
          <w:bCs/>
          <w:b/>
        </w:rPr>
        <w:t xml:space="preserve">BENPORATH_ES_2</w:t>
      </w:r>
      <w:r>
        <w:t xml:space="preserve">: Set</w:t>
      </w:r>
      <w:r>
        <w:t xml:space="preserve"> </w:t>
      </w:r>
      <w:r>
        <w:t xml:space="preserve">‘</w:t>
      </w:r>
      <w:r>
        <w:t xml:space="preserve">Set ’ES exp2</w:t>
      </w:r>
      <w:r>
        <w:t xml:space="preserve">’</w:t>
      </w:r>
      <w:r>
        <w:t xml:space="preserve">: genes overexpressed in human embryonic stem cells according to a meta-analysis of 8 profiling studies.</w:t>
      </w:r>
      <w:r>
        <w:t xml:space="preserve"> </w:t>
      </w:r>
      <w:hyperlink r:id="rId45">
        <w:r>
          <w:rPr>
            <w:rStyle w:val="Hyperlink"/>
          </w:rPr>
          <w:t xml:space="preserve">[https://www.gsea-msigdb.org/gsea/msigdb/human/geneset/BENPORATH_ES_2.html]</w:t>
        </w:r>
      </w:hyperlink>
    </w:p>
    <w:p>
      <w:pPr>
        <w:pStyle w:val="BodyText"/>
      </w:pPr>
      <w:r>
        <w:rPr>
          <w:bCs/>
          <w:b/>
        </w:rPr>
        <w:t xml:space="preserve">PID_TAP63_PATHWAY</w:t>
      </w:r>
      <w:r>
        <w:t xml:space="preserve">: Validated transcriptional targets of TAp63 isoforms</w:t>
      </w:r>
      <w:r>
        <w:t xml:space="preserve"> </w:t>
      </w:r>
      <w:hyperlink r:id="rId46">
        <w:r>
          <w:rPr>
            <w:rStyle w:val="Hyperlink"/>
          </w:rPr>
          <w:t xml:space="preserve">[https://www.gsea-msigdb.org/gsea/msigdb/human/geneset/PID_TAP63_PATHWAY.html]</w:t>
        </w:r>
      </w:hyperlink>
    </w:p>
    <w:p>
      <w:pPr>
        <w:pStyle w:val="BodyText"/>
      </w:pPr>
      <w:r>
        <w:rPr>
          <w:bCs/>
          <w:b/>
        </w:rPr>
        <w:t xml:space="preserve">WANG_HCP_PROSTATE_CANCER</w:t>
      </w:r>
      <w:r>
        <w:t xml:space="preserve">: Genes with the high-CpG-density promoters (HCP) that were up-regulated in 1542-CP3TX cells (prostate cancer) compared to 1542-NPTX (normal prostate).</w:t>
      </w:r>
      <w:r>
        <w:t xml:space="preserve"> </w:t>
      </w:r>
      <w:hyperlink r:id="rId47">
        <w:r>
          <w:rPr>
            <w:rStyle w:val="Hyperlink"/>
          </w:rPr>
          <w:t xml:space="preserve">[https://www.gsea-msigdb.org/gsea/msigdb/human/geneset/WANG_HCP_PROSTATE_CANCER.html]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48">
        <w:r>
          <w:rPr>
            <w:rStyle w:val="Hyperlink"/>
          </w:rPr>
          <w:t xml:space="preserve">[https://www.gsea-msigdb.org/gsea/msigdb/human/geneset/KOINUMA_TARGETS_OF_SMAD2_OR_SMAD3.html]</w:t>
        </w:r>
      </w:hyperlink>
    </w:p>
    <w:p>
      <w:pPr>
        <w:pStyle w:val="BodyText"/>
      </w:pPr>
      <w:r>
        <w:rPr>
          <w:bCs/>
          <w:b/>
        </w:rPr>
        <w:t xml:space="preserve">JINESH_BLEBBISHIELD_VS_LIVE_CONTROL_UP</w:t>
      </w:r>
      <w:r>
        <w:t xml:space="preserve">: Genes up-regulated in blebbishields compared to control RT4 live cells</w:t>
      </w:r>
      <w:r>
        <w:t xml:space="preserve"> </w:t>
      </w:r>
      <w:hyperlink r:id="rId49">
        <w:r>
          <w:rPr>
            <w:rStyle w:val="Hyperlink"/>
          </w:rPr>
          <w:t xml:space="preserve">[https://www.gsea-msigdb.org/gsea/msigdb/human/geneset/JINESH_BLEBBISHIELD_VS_LIVE_CONTROL_UP.html]</w:t>
        </w:r>
      </w:hyperlink>
    </w:p>
    <w:bookmarkEnd w:id="50"/>
    <w:bookmarkEnd w:id="51"/>
    <w:bookmarkStart w:id="52" w:name="gene-descriptions"/>
    <w:p>
      <w:pPr>
        <w:pStyle w:val="Heading1"/>
      </w:pPr>
      <w:r>
        <w:t xml:space="preserve">7. Gene Descriptions</w:t>
      </w:r>
    </w:p>
    <w:p>
      <w:pPr>
        <w:pStyle w:val="FirstParagraph"/>
      </w:pPr>
      <w:r>
        <w:rPr>
          <w:bCs/>
          <w:b/>
        </w:rPr>
        <w:t xml:space="preserve">NCBI Gene Summary</w:t>
      </w:r>
      <w:r>
        <w:t xml:space="preserve">: Enables DNA exonuclease activity. Involved in intrinsic apoptotic signaling pathway in response to DNA damage by p53 class mediator and response to ionizing radiation. Located in nuclear membrane; nucleolus; and nucleoplasm. [provided by Alliance of Genome Resources, Feb 2025]</w:t>
      </w:r>
    </w:p>
    <w:p>
      <w:pPr>
        <w:pStyle w:val="BodyText"/>
      </w:pPr>
      <w:r>
        <w:rPr>
          <w:bCs/>
          <w:b/>
        </w:rPr>
        <w:t xml:space="preserve">GeneCards Summary</w:t>
      </w:r>
      <w:r>
        <w:t xml:space="preserve">: AEN (Apoptosis Enhancing Nuclease) is a Protein Coding gene. Diseases associated with AEN include Chest Wall Lymphoma and Kleefstra Syndrome 2. Among its related pathways are Genotoxicity pathway and Validated transcriptional targets of TAp63 isoforms. Gene Ontology (GO) annotations related to this gene include nucleic acid binding and exonuclease activity. An important paralog of this gene is ISG20L2.</w:t>
      </w:r>
    </w:p>
    <w:p>
      <w:pPr>
        <w:pStyle w:val="BodyText"/>
      </w:pPr>
      <w:r>
        <w:rPr>
          <w:bCs/>
          <w:b/>
        </w:rPr>
        <w:t xml:space="preserve">UniProtKB/Swiss-Prot Summary</w:t>
      </w:r>
      <w:r>
        <w:t xml:space="preserve">: Exonuclease with activity against single- and double-stranded DNA and RNA. Mediates p53-induced apoptosis. When induced by p53 following DNA damage, digests double-stranded DNA to form single-stranded DNA and amplifies DNA damage signals, leading to enhancement of apoptosis.</w:t>
      </w:r>
    </w:p>
    <w:bookmarkEnd w:id="52"/>
    <w:bookmarkStart w:id="54" w:name="cellular-location-of-gene-product"/>
    <w:p>
      <w:pPr>
        <w:pStyle w:val="Heading1"/>
      </w:pPr>
      <w:r>
        <w:t xml:space="preserve">8. Cellular Location of Gene Product</w:t>
      </w:r>
    </w:p>
    <w:p>
      <w:pPr>
        <w:pStyle w:val="FirstParagraph"/>
      </w:pPr>
      <w:r>
        <w:t xml:space="preserve">Mainly localized to the nucleoplasm and nucleoli. In addition localized to the nuclear membrane. Predicted location: Intracellular [</w:t>
      </w:r>
      <w:hyperlink r:id="rId53">
        <w:r>
          <w:rPr>
            <w:rStyle w:val="Hyperlink"/>
          </w:rPr>
          <w:t xml:space="preserve">https://www.proteinatlas.org/ENSG00000181026/subcellular</w:t>
        </w:r>
      </w:hyperlink>
      <w:r>
        <w:t xml:space="preserve">]</w:t>
      </w:r>
    </w:p>
    <w:bookmarkEnd w:id="54"/>
    <w:bookmarkStart w:id="56" w:name="mechanistic-information"/>
    <w:p>
      <w:pPr>
        <w:pStyle w:val="Heading1"/>
      </w:pPr>
      <w:r>
        <w:t xml:space="preserve">9. Mechanistic Information</w:t>
      </w:r>
    </w:p>
    <w:p>
      <w:pPr>
        <w:numPr>
          <w:ilvl w:val="0"/>
          <w:numId w:val="1005"/>
        </w:numPr>
        <w:pStyle w:val="Compact"/>
      </w:pPr>
      <w:r>
        <w:t xml:space="preserve">The liver demonstrated upregulation of DNA damage response (DDR) signaling and the P53-AEN-apoptosis axis both during and after exposure to Western diet (WD) in a mice model of metabolic dysfunction-associated steatotic liver disease. P53 was identified as a key regulator of DNA damage response (DDR) signaling in metabolic dysfunction-associated steatotic liver disease (MASLD), and it upregulated the expression of apoptosis-enhancing nuclease (AEN) in the liver. P53 might transcriptionally upregulate Aen to enhance apoptotic signaling in liver in nonalcoholic fatty liver disease (NAFLD) [PMID: 39280071].</w:t>
      </w:r>
    </w:p>
    <w:bookmarkStart w:id="55" w:name="summary"/>
    <w:p>
      <w:pPr>
        <w:pStyle w:val="Heading2"/>
      </w:pPr>
      <w:r>
        <w:t xml:space="preserve">Summary</w:t>
      </w:r>
    </w:p>
    <w:p>
      <w:pPr>
        <w:pStyle w:val="FirstParagraph"/>
      </w:pPr>
      <w:r>
        <w:t xml:space="preserve">AEN is an exonuclease that degrades both single- and double-stranded DNA and RNA, functioning primarily in p53-mediated apoptosis [CS: 8]. When DNA damage occurs, p53 induces AEN expression, which then digests double-stranded DNA to form single-stranded DNA, amplifying DNA damage signals and enhancing apoptotic processes [CS: 7]. AEN’s nuclease activity directly contributes to cellular death pathways by breaking down nucleic acids, which is essential for eliminating severely damaged cells that might otherwise become cancerous or dysfunctional [CS: 8].</w:t>
      </w:r>
    </w:p>
    <w:p>
      <w:pPr>
        <w:pStyle w:val="BodyText"/>
      </w:pPr>
      <w:r>
        <w:t xml:space="preserve">In the liver, exposure to toxins, genotoxic agents, or metabolic stress leads to DNA damage that elevates p53 levels and triggers AEN expression, promoting the clearance of cells with harmful mutations [CS: 8]. In nonalcoholic fatty liver disease, heightened AEN expression supports ongoing apoptotic turnover of hepatocytes under DNA damage stress [CS: 7]. In contrast, hepatocellular carcinoma models treated with grape seed extract show reduced AEN expression, altering the balance between cell survival and programmed cell death [CS: 5]. Dysregulation of this pathway can disrupt the normal elimination of damaged cells, contributing to disease progression and sensitivity to toxic events [CS: 8].</w:t>
      </w:r>
    </w:p>
    <w:bookmarkEnd w:id="55"/>
    <w:bookmarkEnd w:id="56"/>
    <w:bookmarkStart w:id="58" w:name="upstream-regulators"/>
    <w:p>
      <w:pPr>
        <w:pStyle w:val="Heading1"/>
      </w:pPr>
      <w:r>
        <w:t xml:space="preserve">10. Upstream Regulators</w:t>
      </w:r>
    </w:p>
    <w:p>
      <w:pPr>
        <w:numPr>
          <w:ilvl w:val="0"/>
          <w:numId w:val="1006"/>
        </w:numPr>
        <w:pStyle w:val="Compact"/>
      </w:pPr>
      <w:r>
        <w:t xml:space="preserve">AEN is induced by p53 with various DNA damage, and its expression is regulated by the phosphorylation status of p53 [PMID: 18264133].</w:t>
      </w:r>
    </w:p>
    <w:p>
      <w:pPr>
        <w:numPr>
          <w:ilvl w:val="0"/>
          <w:numId w:val="1006"/>
        </w:numPr>
        <w:pStyle w:val="Compact"/>
      </w:pPr>
      <w:r>
        <w:t xml:space="preserve">Aen (ISG20L1) expression in mouse liver showed a distinct dose-dependent increase at 4 hours following exposure to the genotoxic hepatocarcinogens DEN and ENU [</w:t>
      </w:r>
      <w:hyperlink r:id="rId57">
        <w:r>
          <w:rPr>
            <w:rStyle w:val="Hyperlink"/>
          </w:rPr>
          <w:t xml:space="preserve">PMID: 19100860</w:t>
        </w:r>
      </w:hyperlink>
      <w:r>
        <w:t xml:space="preserve">].</w:t>
      </w:r>
    </w:p>
    <w:bookmarkEnd w:id="58"/>
    <w:bookmarkStart w:id="61"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59">
        <w:r>
          <w:rPr>
            <w:rStyle w:val="Hyperlink"/>
          </w:rPr>
          <w:t xml:space="preserve">https://www.proteinatlas.org/ENSG00000181026/tissue</w:t>
        </w:r>
      </w:hyperlink>
      <w:r>
        <w:t xml:space="preserve">]</w:t>
      </w:r>
    </w:p>
    <w:p>
      <w:pPr>
        <w:pStyle w:val="BodyText"/>
      </w:pPr>
      <w:r>
        <w:rPr>
          <w:bCs/>
          <w:b/>
        </w:rPr>
        <w:t xml:space="preserve">Cell type enhanced</w:t>
      </w:r>
      <w:r>
        <w:t xml:space="preserve">: late spermatids (cell type enhanced) [</w:t>
      </w:r>
      <w:hyperlink r:id="rId60">
        <w:r>
          <w:rPr>
            <w:rStyle w:val="Hyperlink"/>
          </w:rPr>
          <w:t xml:space="preserve">https://www.proteinatlas.org/ENSG00000181026/single+cell+type</w:t>
        </w:r>
      </w:hyperlink>
      <w:r>
        <w:t xml:space="preserve">]</w:t>
      </w:r>
    </w:p>
    <w:bookmarkEnd w:id="61"/>
    <w:bookmarkStart w:id="62" w:name="role-of-gene-in-other-tissues"/>
    <w:p>
      <w:pPr>
        <w:pStyle w:val="Heading1"/>
      </w:pPr>
      <w:r>
        <w:t xml:space="preserve">12. Role of Gene in Other Tissues</w:t>
      </w:r>
    </w:p>
    <w:p>
      <w:pPr>
        <w:numPr>
          <w:ilvl w:val="0"/>
          <w:numId w:val="1007"/>
        </w:numPr>
        <w:pStyle w:val="Compact"/>
      </w:pPr>
      <w:r>
        <w:t xml:space="preserve">AEN gene expression is dysregulated in human peripheral blood upon exposure to 0.1, 0.3, 0.5, 1, 2 or 4 Gy of photons (X rays) [PMID: 28140791, PMID: 23484538,PMID: 35054492, PMID: 34103547].</w:t>
      </w:r>
    </w:p>
    <w:p>
      <w:pPr>
        <w:numPr>
          <w:ilvl w:val="0"/>
          <w:numId w:val="1007"/>
        </w:numPr>
        <w:pStyle w:val="Compact"/>
      </w:pPr>
      <w:r>
        <w:t xml:space="preserve">AEN was one of the genes upregulated in fibroblasts across skin biopsies from 52 adult donors with a first primary neoplasm in childhood exposed to 0.05 Gray radiation [PMID: 36068491].</w:t>
      </w:r>
    </w:p>
    <w:bookmarkEnd w:id="62"/>
    <w:bookmarkStart w:id="65" w:name="X6a418851aade75f9472f140bae959c91bd4b668"/>
    <w:p>
      <w:pPr>
        <w:pStyle w:val="Heading1"/>
      </w:pPr>
      <w:r>
        <w:t xml:space="preserve">13. Chemicals Known to Elicit Transcriptional Response of Biomarker in Tissue of Interest</w:t>
      </w:r>
    </w:p>
    <w:bookmarkStart w:id="63" w:name="X600d33a2660f152ae9c796beb655bf7abc2ba5b"/>
    <w:p>
      <w:pPr>
        <w:pStyle w:val="Heading2"/>
      </w:pPr>
      <w:r>
        <w:t xml:space="preserve">Compounds that increase expression of the gene:</w:t>
      </w:r>
    </w:p>
    <w:p>
      <w:pPr>
        <w:numPr>
          <w:ilvl w:val="0"/>
          <w:numId w:val="1008"/>
        </w:numPr>
        <w:pStyle w:val="Compact"/>
      </w:pPr>
      <w:r>
        <w:t xml:space="preserve">2-acetamidofluorene [PMID: 21607683, PMID: 22584684]</w:t>
      </w:r>
    </w:p>
    <w:p>
      <w:pPr>
        <w:numPr>
          <w:ilvl w:val="0"/>
          <w:numId w:val="1008"/>
        </w:numPr>
        <w:pStyle w:val="Compact"/>
      </w:pPr>
      <w:r>
        <w:t xml:space="preserve">N-ethyl-N-nitrosourea [PMID: 19100860]</w:t>
      </w:r>
    </w:p>
    <w:p>
      <w:pPr>
        <w:numPr>
          <w:ilvl w:val="0"/>
          <w:numId w:val="1008"/>
        </w:numPr>
        <w:pStyle w:val="Compact"/>
      </w:pPr>
      <w:r>
        <w:t xml:space="preserve">N-nitrosodiethylamine [PMID: 19100860, PMID: 21607683]</w:t>
      </w:r>
    </w:p>
    <w:p>
      <w:pPr>
        <w:numPr>
          <w:ilvl w:val="0"/>
          <w:numId w:val="1008"/>
        </w:numPr>
        <w:pStyle w:val="Compact"/>
      </w:pPr>
      <w:r>
        <w:t xml:space="preserve">N-nitrosodimethylamine [PMID: 25380136]</w:t>
      </w:r>
    </w:p>
    <w:p>
      <w:pPr>
        <w:numPr>
          <w:ilvl w:val="0"/>
          <w:numId w:val="1008"/>
        </w:numPr>
        <w:pStyle w:val="Compact"/>
      </w:pPr>
      <w:r>
        <w:t xml:space="preserve">Triptolide [PMID: 32835833]</w:t>
      </w:r>
    </w:p>
    <w:p>
      <w:pPr>
        <w:numPr>
          <w:ilvl w:val="0"/>
          <w:numId w:val="1008"/>
        </w:numPr>
        <w:pStyle w:val="Compact"/>
      </w:pPr>
      <w:r>
        <w:t xml:space="preserve">aflatoxin B1 [PMID: 22100608, PMID: 23385219, PMID: 23630614, PMID: 25378103, PMID: 27153756]</w:t>
      </w:r>
    </w:p>
    <w:p>
      <w:pPr>
        <w:numPr>
          <w:ilvl w:val="0"/>
          <w:numId w:val="1008"/>
        </w:numPr>
        <w:pStyle w:val="Compact"/>
      </w:pPr>
      <w:r>
        <w:t xml:space="preserve">anthracen-2-amine [PMID: 23038007]</w:t>
      </w:r>
    </w:p>
    <w:p>
      <w:pPr>
        <w:numPr>
          <w:ilvl w:val="0"/>
          <w:numId w:val="1008"/>
        </w:numPr>
        <w:pStyle w:val="Compact"/>
      </w:pPr>
      <w:r>
        <w:t xml:space="preserve">arsenous acid [PMID: 29095437]</w:t>
      </w:r>
    </w:p>
    <w:p>
      <w:pPr>
        <w:numPr>
          <w:ilvl w:val="0"/>
          <w:numId w:val="1008"/>
        </w:numPr>
        <w:pStyle w:val="Compact"/>
      </w:pPr>
      <w:r>
        <w:t xml:space="preserve">benzo[a]pyrene [PMID: 21964900, PMID: 20106945]</w:t>
      </w:r>
    </w:p>
    <w:p>
      <w:pPr>
        <w:numPr>
          <w:ilvl w:val="0"/>
          <w:numId w:val="1008"/>
        </w:numPr>
        <w:pStyle w:val="Compact"/>
      </w:pPr>
      <w:r>
        <w:t xml:space="preserve">cisplatin [PMID: 33545341]</w:t>
      </w:r>
    </w:p>
    <w:p>
      <w:pPr>
        <w:numPr>
          <w:ilvl w:val="0"/>
          <w:numId w:val="1008"/>
        </w:numPr>
        <w:pStyle w:val="Compact"/>
      </w:pPr>
      <w:r>
        <w:t xml:space="preserve">cyclosporin A [PMID: 20106945]</w:t>
      </w:r>
    </w:p>
    <w:p>
      <w:pPr>
        <w:numPr>
          <w:ilvl w:val="0"/>
          <w:numId w:val="1008"/>
        </w:numPr>
        <w:pStyle w:val="Compact"/>
      </w:pPr>
      <w:r>
        <w:t xml:space="preserve">dichloroacetic acid [PMID: 28962523]</w:t>
      </w:r>
    </w:p>
    <w:p>
      <w:pPr>
        <w:numPr>
          <w:ilvl w:val="0"/>
          <w:numId w:val="1008"/>
        </w:numPr>
        <w:pStyle w:val="Compact"/>
      </w:pPr>
      <w:r>
        <w:t xml:space="preserve">diclofenac [PMID: 35537566]</w:t>
      </w:r>
    </w:p>
    <w:p>
      <w:pPr>
        <w:numPr>
          <w:ilvl w:val="0"/>
          <w:numId w:val="1008"/>
        </w:numPr>
        <w:pStyle w:val="Compact"/>
      </w:pPr>
      <w:r>
        <w:t xml:space="preserve">diethyl maleate [PMID: 33545341]</w:t>
      </w:r>
    </w:p>
    <w:p>
      <w:pPr>
        <w:numPr>
          <w:ilvl w:val="0"/>
          <w:numId w:val="1008"/>
        </w:numPr>
        <w:pStyle w:val="Compact"/>
      </w:pPr>
      <w:r>
        <w:t xml:space="preserve">flutamide [PMID: 24136188]</w:t>
      </w:r>
    </w:p>
    <w:p>
      <w:pPr>
        <w:numPr>
          <w:ilvl w:val="0"/>
          <w:numId w:val="1008"/>
        </w:numPr>
        <w:pStyle w:val="Compact"/>
      </w:pPr>
      <w:r>
        <w:t xml:space="preserve">furan [PMID: 24183702, PMID: 37517673]</w:t>
      </w:r>
    </w:p>
    <w:p>
      <w:pPr>
        <w:numPr>
          <w:ilvl w:val="0"/>
          <w:numId w:val="1008"/>
        </w:numPr>
        <w:pStyle w:val="Compact"/>
      </w:pPr>
      <w:r>
        <w:t xml:space="preserve">pregnenolone 16alpha-carbonitrile [PMID: 28903501]</w:t>
      </w:r>
    </w:p>
    <w:p>
      <w:pPr>
        <w:numPr>
          <w:ilvl w:val="0"/>
          <w:numId w:val="1008"/>
        </w:numPr>
        <w:pStyle w:val="Compact"/>
      </w:pPr>
      <w:r>
        <w:t xml:space="preserve">tetrachloromethane [PMID: 31150632]</w:t>
      </w:r>
    </w:p>
    <w:p>
      <w:pPr>
        <w:numPr>
          <w:ilvl w:val="0"/>
          <w:numId w:val="1008"/>
        </w:numPr>
        <w:pStyle w:val="Compact"/>
      </w:pPr>
      <w:r>
        <w:t xml:space="preserve">thioacetamide [PMID: 23411599, PMID: 34492290]</w:t>
      </w:r>
    </w:p>
    <w:p>
      <w:pPr>
        <w:numPr>
          <w:ilvl w:val="0"/>
          <w:numId w:val="1008"/>
        </w:numPr>
        <w:pStyle w:val="Compact"/>
      </w:pPr>
      <w:r>
        <w:t xml:space="preserve">trovafloxacin [PMID: 35537566]</w:t>
      </w:r>
    </w:p>
    <w:bookmarkEnd w:id="63"/>
    <w:bookmarkStart w:id="64" w:name="X66bcf4a0dbd9e6b6c647a73d9cc717b8c3d6d9b"/>
    <w:p>
      <w:pPr>
        <w:pStyle w:val="Heading2"/>
      </w:pPr>
      <w:r>
        <w:t xml:space="preserve">Compounds that decrease expression of the gene:</w:t>
      </w:r>
    </w:p>
    <w:p>
      <w:pPr>
        <w:numPr>
          <w:ilvl w:val="0"/>
          <w:numId w:val="1009"/>
        </w:numPr>
        <w:pStyle w:val="Compact"/>
      </w:pPr>
      <w:r>
        <w:t xml:space="preserve">acetamide [PMID: 31881176]</w:t>
      </w:r>
    </w:p>
    <w:p>
      <w:pPr>
        <w:numPr>
          <w:ilvl w:val="0"/>
          <w:numId w:val="1009"/>
        </w:numPr>
        <w:pStyle w:val="Compact"/>
      </w:pPr>
      <w:r>
        <w:t xml:space="preserve">bis(2-ethylhexyl) phthalate [PMID: 22584684]</w:t>
      </w:r>
    </w:p>
    <w:p>
      <w:pPr>
        <w:numPr>
          <w:ilvl w:val="0"/>
          <w:numId w:val="1009"/>
        </w:numPr>
        <w:pStyle w:val="Compact"/>
      </w:pPr>
      <w:r>
        <w:t xml:space="preserve">fipronil [PMID: 23962444]</w:t>
      </w:r>
    </w:p>
    <w:bookmarkEnd w:id="64"/>
    <w:bookmarkEnd w:id="65"/>
    <w:bookmarkStart w:id="66" w:name="Xe897d809c40dc0afd2207e3a534026622eaab57"/>
    <w:p>
      <w:pPr>
        <w:pStyle w:val="Heading1"/>
      </w:pPr>
      <w:r>
        <w:t xml:space="preserve">14. DisGeNet Biomarker Associations to Disease in Organ of Interest</w:t>
      </w:r>
    </w:p>
    <w:p>
      <w:pPr>
        <w:pStyle w:val="FirstParagraph"/>
      </w:pPr>
      <w:r>
        <w:t xml:space="preserve">No DisGenNet altered expression associations were found for Aen and diseases associated with Liver</w:t>
      </w:r>
    </w:p>
    <w:bookmarkEnd w:id="6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B2GUW6" TargetMode="External" /><Relationship Type="http://schemas.openxmlformats.org/officeDocument/2006/relationships/hyperlink" Id="rId36" Target="https://alphafold.ebi.ac.uk/entry/Q8WTP8" TargetMode="External" /><Relationship Type="http://schemas.openxmlformats.org/officeDocument/2006/relationships/hyperlink" Id="rId26" Target="https://maayanlab.cloud/Harmonizome/gene/AEN" TargetMode="External" /><Relationship Type="http://schemas.openxmlformats.org/officeDocument/2006/relationships/hyperlink" Id="rId31" Target="https://rgd.mcw.edu/rgdweb/report/gene/main.html?id=1305051" TargetMode="External" /><Relationship Type="http://schemas.openxmlformats.org/officeDocument/2006/relationships/hyperlink" Id="rId29" Target="https://useast.ensembl.org/Homo_sapiens/Gene/Summary?g=ENSG00000181026" TargetMode="External" /><Relationship Type="http://schemas.openxmlformats.org/officeDocument/2006/relationships/hyperlink" Id="rId30" Target="https://useast.ensembl.org/Rattus_norvegicus/Gene/Summary?g=ENSRNOG00000018421" TargetMode="External" /><Relationship Type="http://schemas.openxmlformats.org/officeDocument/2006/relationships/hyperlink" Id="rId20" Target="https://www.genecards.org/cgi-bin/carddisp.pl?gene=AEN" TargetMode="External" /><Relationship Type="http://schemas.openxmlformats.org/officeDocument/2006/relationships/hyperlink" Id="rId41" Target="https://www.gsea-msigdb.org/gsea/msigdb/human/geneset/BENPORATH_ES_1.html" TargetMode="External" /><Relationship Type="http://schemas.openxmlformats.org/officeDocument/2006/relationships/hyperlink" Id="rId45" Target="https://www.gsea-msigdb.org/gsea/msigdb/human/geneset/BENPORATH_ES_2.html" TargetMode="External" /><Relationship Type="http://schemas.openxmlformats.org/officeDocument/2006/relationships/hyperlink" Id="rId42" Target="https://www.gsea-msigdb.org/gsea/msigdb/human/geneset/DODD_NASOPHARYNGEAL_CARCINOMA_UP.html" TargetMode="External" /><Relationship Type="http://schemas.openxmlformats.org/officeDocument/2006/relationships/hyperlink" Id="rId43" Target="https://www.gsea-msigdb.org/gsea/msigdb/human/geneset/FISCHER_DIRECT_P53_TARGETS_META_ANALYSIS.html" TargetMode="External" /><Relationship Type="http://schemas.openxmlformats.org/officeDocument/2006/relationships/hyperlink" Id="rId44" Target="https://www.gsea-msigdb.org/gsea/msigdb/human/geneset/FISCHER_DREAM_TARGETS.html" TargetMode="External" /><Relationship Type="http://schemas.openxmlformats.org/officeDocument/2006/relationships/hyperlink" Id="rId49" Target="https://www.gsea-msigdb.org/gsea/msigdb/human/geneset/JINESH_BLEBBISHIELD_VS_LIVE_CONTROL_UP.html" TargetMode="External" /><Relationship Type="http://schemas.openxmlformats.org/officeDocument/2006/relationships/hyperlink" Id="rId48" Target="https://www.gsea-msigdb.org/gsea/msigdb/human/geneset/KOINUMA_TARGETS_OF_SMAD2_OR_SMAD3.html" TargetMode="External" /><Relationship Type="http://schemas.openxmlformats.org/officeDocument/2006/relationships/hyperlink" Id="rId46" Target="https://www.gsea-msigdb.org/gsea/msigdb/human/geneset/PID_TAP63_PATHWAY.html" TargetMode="External" /><Relationship Type="http://schemas.openxmlformats.org/officeDocument/2006/relationships/hyperlink" Id="rId47" Target="https://www.gsea-msigdb.org/gsea/msigdb/human/geneset/WANG_HCP_PROSTATE_CANCER.html" TargetMode="External" /><Relationship Type="http://schemas.openxmlformats.org/officeDocument/2006/relationships/hyperlink" Id="rId28" Target="https://www.ncbi.nlm.nih.gov/gene/361594" TargetMode="External" /><Relationship Type="http://schemas.openxmlformats.org/officeDocument/2006/relationships/hyperlink" Id="rId27" Target="https://www.ncbi.nlm.nih.gov/gene/64782" TargetMode="External" /><Relationship Type="http://schemas.openxmlformats.org/officeDocument/2006/relationships/hyperlink" Id="rId57" Target="https://www.ncbi.nlm.nih.gov/pubmed/19100860" TargetMode="External" /><Relationship Type="http://schemas.openxmlformats.org/officeDocument/2006/relationships/hyperlink" Id="rId60" Target="https://www.proteinatlas.org/ENSG00000181026/single+cell+type" TargetMode="External" /><Relationship Type="http://schemas.openxmlformats.org/officeDocument/2006/relationships/hyperlink" Id="rId53" Target="https://www.proteinatlas.org/ENSG00000181026/subcellular" TargetMode="External" /><Relationship Type="http://schemas.openxmlformats.org/officeDocument/2006/relationships/hyperlink" Id="rId59" Target="https://www.proteinatlas.org/ENSG00000181026/tissue" TargetMode="External" /><Relationship Type="http://schemas.openxmlformats.org/officeDocument/2006/relationships/hyperlink" Id="rId33" Target="https://www.uniprot.org/uniprotkb/B2GUW6" TargetMode="External" /><Relationship Type="http://schemas.openxmlformats.org/officeDocument/2006/relationships/hyperlink" Id="rId32" Target="https://www.uniprot.org/uniprotkb/Q8WTP8" TargetMode="External" /><Relationship Type="http://schemas.openxmlformats.org/officeDocument/2006/relationships/hyperlink" Id="rId35" Target="https://www.wikigenes.org/e/gene/e/361594.html" TargetMode="External" /><Relationship Type="http://schemas.openxmlformats.org/officeDocument/2006/relationships/hyperlink" Id="rId34" Target="https://www.wikigenes.org/e/gene/e/64782.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B2GUW6" TargetMode="External" /><Relationship Type="http://schemas.openxmlformats.org/officeDocument/2006/relationships/hyperlink" Id="rId36" Target="https://alphafold.ebi.ac.uk/entry/Q8WTP8" TargetMode="External" /><Relationship Type="http://schemas.openxmlformats.org/officeDocument/2006/relationships/hyperlink" Id="rId26" Target="https://maayanlab.cloud/Harmonizome/gene/AEN" TargetMode="External" /><Relationship Type="http://schemas.openxmlformats.org/officeDocument/2006/relationships/hyperlink" Id="rId31" Target="https://rgd.mcw.edu/rgdweb/report/gene/main.html?id=1305051" TargetMode="External" /><Relationship Type="http://schemas.openxmlformats.org/officeDocument/2006/relationships/hyperlink" Id="rId29" Target="https://useast.ensembl.org/Homo_sapiens/Gene/Summary?g=ENSG00000181026" TargetMode="External" /><Relationship Type="http://schemas.openxmlformats.org/officeDocument/2006/relationships/hyperlink" Id="rId30" Target="https://useast.ensembl.org/Rattus_norvegicus/Gene/Summary?g=ENSRNOG00000018421" TargetMode="External" /><Relationship Type="http://schemas.openxmlformats.org/officeDocument/2006/relationships/hyperlink" Id="rId20" Target="https://www.genecards.org/cgi-bin/carddisp.pl?gene=AEN" TargetMode="External" /><Relationship Type="http://schemas.openxmlformats.org/officeDocument/2006/relationships/hyperlink" Id="rId41" Target="https://www.gsea-msigdb.org/gsea/msigdb/human/geneset/BENPORATH_ES_1.html" TargetMode="External" /><Relationship Type="http://schemas.openxmlformats.org/officeDocument/2006/relationships/hyperlink" Id="rId45" Target="https://www.gsea-msigdb.org/gsea/msigdb/human/geneset/BENPORATH_ES_2.html" TargetMode="External" /><Relationship Type="http://schemas.openxmlformats.org/officeDocument/2006/relationships/hyperlink" Id="rId42" Target="https://www.gsea-msigdb.org/gsea/msigdb/human/geneset/DODD_NASOPHARYNGEAL_CARCINOMA_UP.html" TargetMode="External" /><Relationship Type="http://schemas.openxmlformats.org/officeDocument/2006/relationships/hyperlink" Id="rId43" Target="https://www.gsea-msigdb.org/gsea/msigdb/human/geneset/FISCHER_DIRECT_P53_TARGETS_META_ANALYSIS.html" TargetMode="External" /><Relationship Type="http://schemas.openxmlformats.org/officeDocument/2006/relationships/hyperlink" Id="rId44" Target="https://www.gsea-msigdb.org/gsea/msigdb/human/geneset/FISCHER_DREAM_TARGETS.html" TargetMode="External" /><Relationship Type="http://schemas.openxmlformats.org/officeDocument/2006/relationships/hyperlink" Id="rId49" Target="https://www.gsea-msigdb.org/gsea/msigdb/human/geneset/JINESH_BLEBBISHIELD_VS_LIVE_CONTROL_UP.html" TargetMode="External" /><Relationship Type="http://schemas.openxmlformats.org/officeDocument/2006/relationships/hyperlink" Id="rId48" Target="https://www.gsea-msigdb.org/gsea/msigdb/human/geneset/KOINUMA_TARGETS_OF_SMAD2_OR_SMAD3.html" TargetMode="External" /><Relationship Type="http://schemas.openxmlformats.org/officeDocument/2006/relationships/hyperlink" Id="rId46" Target="https://www.gsea-msigdb.org/gsea/msigdb/human/geneset/PID_TAP63_PATHWAY.html" TargetMode="External" /><Relationship Type="http://schemas.openxmlformats.org/officeDocument/2006/relationships/hyperlink" Id="rId47" Target="https://www.gsea-msigdb.org/gsea/msigdb/human/geneset/WANG_HCP_PROSTATE_CANCER.html" TargetMode="External" /><Relationship Type="http://schemas.openxmlformats.org/officeDocument/2006/relationships/hyperlink" Id="rId28" Target="https://www.ncbi.nlm.nih.gov/gene/361594" TargetMode="External" /><Relationship Type="http://schemas.openxmlformats.org/officeDocument/2006/relationships/hyperlink" Id="rId27" Target="https://www.ncbi.nlm.nih.gov/gene/64782" TargetMode="External" /><Relationship Type="http://schemas.openxmlformats.org/officeDocument/2006/relationships/hyperlink" Id="rId57" Target="https://www.ncbi.nlm.nih.gov/pubmed/19100860" TargetMode="External" /><Relationship Type="http://schemas.openxmlformats.org/officeDocument/2006/relationships/hyperlink" Id="rId60" Target="https://www.proteinatlas.org/ENSG00000181026/single+cell+type" TargetMode="External" /><Relationship Type="http://schemas.openxmlformats.org/officeDocument/2006/relationships/hyperlink" Id="rId53" Target="https://www.proteinatlas.org/ENSG00000181026/subcellular" TargetMode="External" /><Relationship Type="http://schemas.openxmlformats.org/officeDocument/2006/relationships/hyperlink" Id="rId59" Target="https://www.proteinatlas.org/ENSG00000181026/tissue" TargetMode="External" /><Relationship Type="http://schemas.openxmlformats.org/officeDocument/2006/relationships/hyperlink" Id="rId33" Target="https://www.uniprot.org/uniprotkb/B2GUW6" TargetMode="External" /><Relationship Type="http://schemas.openxmlformats.org/officeDocument/2006/relationships/hyperlink" Id="rId32" Target="https://www.uniprot.org/uniprotkb/Q8WTP8" TargetMode="External" /><Relationship Type="http://schemas.openxmlformats.org/officeDocument/2006/relationships/hyperlink" Id="rId35" Target="https://www.wikigenes.org/e/gene/e/361594.html" TargetMode="External" /><Relationship Type="http://schemas.openxmlformats.org/officeDocument/2006/relationships/hyperlink" Id="rId34" Target="https://www.wikigenes.org/e/gene/e/6478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2025-03-12T03:42:10Z</dcterms:created>
  <dcterms:modified xsi:type="dcterms:W3CDTF">2025-03-12T03:42:10Z</dcterms:modified>
</cp:coreProperties>
</file>

<file path=docProps/custom.xml><?xml version="1.0" encoding="utf-8"?>
<Properties xmlns="http://schemas.openxmlformats.org/officeDocument/2006/custom-properties" xmlns:vt="http://schemas.openxmlformats.org/officeDocument/2006/docPropsVTypes"/>
</file>