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A318" w14:textId="0899BA47" w:rsidR="00A60D3E" w:rsidRPr="009E643B" w:rsidRDefault="009E643B" w:rsidP="00A60D3E">
      <w:pPr>
        <w:rPr>
          <w:rFonts w:cstheme="minorHAnsi"/>
          <w:sz w:val="22"/>
          <w:szCs w:val="22"/>
        </w:rPr>
      </w:pPr>
      <w:r w:rsidRPr="009E643B">
        <w:rPr>
          <w:rFonts w:cstheme="minorHAnsi"/>
          <w:sz w:val="22"/>
          <w:szCs w:val="22"/>
        </w:rPr>
        <w:t xml:space="preserve">Supplemental </w:t>
      </w:r>
      <w:r w:rsidR="00A60D3E" w:rsidRPr="009E643B">
        <w:rPr>
          <w:rFonts w:cstheme="minorHAnsi"/>
          <w:sz w:val="22"/>
          <w:szCs w:val="22"/>
        </w:rPr>
        <w:t xml:space="preserve">Table </w:t>
      </w:r>
      <w:r w:rsidR="00362D6E" w:rsidRPr="009E643B">
        <w:rPr>
          <w:rFonts w:cstheme="minorHAnsi"/>
          <w:sz w:val="22"/>
          <w:szCs w:val="22"/>
        </w:rPr>
        <w:t>1</w:t>
      </w:r>
      <w:r w:rsidR="00A60D3E" w:rsidRPr="009E643B">
        <w:rPr>
          <w:rFonts w:cstheme="minorHAnsi"/>
          <w:b/>
          <w:bCs/>
          <w:sz w:val="22"/>
          <w:szCs w:val="22"/>
        </w:rPr>
        <w:t>.</w:t>
      </w:r>
      <w:r w:rsidR="00A60D3E" w:rsidRPr="009E643B">
        <w:rPr>
          <w:rFonts w:cstheme="minorHAnsi"/>
          <w:sz w:val="22"/>
          <w:szCs w:val="22"/>
        </w:rPr>
        <w:t xml:space="preserve"> Glossary of toxicokinetic parameters </w:t>
      </w:r>
    </w:p>
    <w:p w14:paraId="4ECE10B4" w14:textId="45B469B2" w:rsidR="004E1406" w:rsidRPr="00C04FEE" w:rsidRDefault="004E1406" w:rsidP="004E1406">
      <w:pPr>
        <w:pStyle w:val="NormalIndent"/>
        <w:keepNext/>
        <w:spacing w:after="120"/>
        <w:ind w:left="0"/>
        <w:rPr>
          <w:b/>
          <w:bCs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539"/>
      </w:tblGrid>
      <w:tr w:rsidR="004E1406" w:rsidRPr="00C04FEE" w14:paraId="567C8662" w14:textId="77777777" w:rsidTr="00F4723C">
        <w:trPr>
          <w:cantSplit/>
          <w:trHeight w:val="216"/>
          <w:tblHeader/>
          <w:jc w:val="center"/>
        </w:trPr>
        <w:tc>
          <w:tcPr>
            <w:tcW w:w="1816" w:type="dxa"/>
            <w:tcBorders>
              <w:bottom w:val="single" w:sz="8" w:space="0" w:color="auto"/>
            </w:tcBorders>
            <w:noWrap/>
            <w:vAlign w:val="center"/>
          </w:tcPr>
          <w:p w14:paraId="52639CEF" w14:textId="77777777" w:rsidR="004E1406" w:rsidRPr="00A11200" w:rsidRDefault="004E1406" w:rsidP="00F4723C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Parameter</w:t>
            </w:r>
          </w:p>
        </w:tc>
        <w:tc>
          <w:tcPr>
            <w:tcW w:w="7539" w:type="dxa"/>
            <w:tcBorders>
              <w:bottom w:val="single" w:sz="8" w:space="0" w:color="auto"/>
            </w:tcBorders>
            <w:noWrap/>
            <w:vAlign w:val="center"/>
          </w:tcPr>
          <w:p w14:paraId="52886AF8" w14:textId="77777777" w:rsidR="004E1406" w:rsidRPr="00A11200" w:rsidRDefault="004E1406" w:rsidP="00F4723C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Definition</w:t>
            </w:r>
          </w:p>
        </w:tc>
      </w:tr>
      <w:tr w:rsidR="004E1406" w:rsidRPr="00C04FEE" w14:paraId="7B05727C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32B9" w14:textId="77777777" w:rsidR="004E1406" w:rsidRPr="00A11200" w:rsidRDefault="004E1406" w:rsidP="00F4723C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C</w:t>
            </w:r>
            <w:r w:rsidRPr="00A11200">
              <w:rPr>
                <w:bCs/>
                <w:sz w:val="18"/>
                <w:vertAlign w:val="subscript"/>
              </w:rPr>
              <w:t>0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A3DE" w14:textId="77777777" w:rsidR="004E1406" w:rsidRPr="00A11200" w:rsidRDefault="004E1406" w:rsidP="00F4723C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Concentration extrapolated to time zero</w:t>
            </w:r>
          </w:p>
        </w:tc>
      </w:tr>
      <w:tr w:rsidR="004E1406" w:rsidRPr="00C04FEE" w14:paraId="74E6C9F1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1B05F30A" w14:textId="77777777" w:rsidR="004E1406" w:rsidRPr="00A11200" w:rsidRDefault="004E1406" w:rsidP="00F4723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Cmax</w:t>
            </w:r>
            <w:proofErr w:type="spellEnd"/>
          </w:p>
        </w:tc>
        <w:tc>
          <w:tcPr>
            <w:tcW w:w="7539" w:type="dxa"/>
            <w:noWrap/>
            <w:vAlign w:val="center"/>
            <w:hideMark/>
          </w:tcPr>
          <w:p w14:paraId="4E498100" w14:textId="77777777" w:rsidR="004E1406" w:rsidRPr="00A11200" w:rsidRDefault="004E1406" w:rsidP="00F4723C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Observed or Predicted Maximum blood (or tissue) concentration</w:t>
            </w:r>
          </w:p>
        </w:tc>
      </w:tr>
      <w:tr w:rsidR="00A62B58" w:rsidRPr="00C04FEE" w14:paraId="63DC7F48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</w:tcPr>
          <w:p w14:paraId="50EDB420" w14:textId="0476DA5E" w:rsidR="00A62B58" w:rsidRPr="00A11200" w:rsidRDefault="00A62B58" w:rsidP="00F4723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Cmax</w:t>
            </w:r>
            <w:proofErr w:type="spellEnd"/>
            <w:r w:rsidRPr="00A11200">
              <w:rPr>
                <w:bCs/>
                <w:sz w:val="18"/>
                <w:szCs w:val="18"/>
              </w:rPr>
              <w:t>/D</w:t>
            </w:r>
          </w:p>
        </w:tc>
        <w:tc>
          <w:tcPr>
            <w:tcW w:w="7539" w:type="dxa"/>
            <w:noWrap/>
            <w:vAlign w:val="center"/>
          </w:tcPr>
          <w:p w14:paraId="4A240B90" w14:textId="1929AF2A" w:rsidR="00A62B58" w:rsidRPr="00A11200" w:rsidRDefault="00A62B58" w:rsidP="00F4723C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Dose normalized</w:t>
            </w:r>
            <w:r w:rsidRPr="00A1120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11200">
              <w:rPr>
                <w:bCs/>
                <w:sz w:val="18"/>
                <w:szCs w:val="18"/>
              </w:rPr>
              <w:t>Cmax</w:t>
            </w:r>
            <w:proofErr w:type="spellEnd"/>
            <w:r w:rsidRPr="00A1120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4E1406" w:rsidRPr="00C04FEE" w14:paraId="6DC2895F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54DE26CC" w14:textId="77777777" w:rsidR="004E1406" w:rsidRPr="00A11200" w:rsidRDefault="004E1406" w:rsidP="00F4723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Tmax</w:t>
            </w:r>
            <w:proofErr w:type="spellEnd"/>
          </w:p>
        </w:tc>
        <w:tc>
          <w:tcPr>
            <w:tcW w:w="7539" w:type="dxa"/>
            <w:noWrap/>
            <w:vAlign w:val="center"/>
            <w:hideMark/>
          </w:tcPr>
          <w:p w14:paraId="698350E0" w14:textId="77777777" w:rsidR="004E1406" w:rsidRPr="00A11200" w:rsidRDefault="004E1406" w:rsidP="00F4723C">
            <w:pPr>
              <w:rPr>
                <w:bCs/>
                <w:color w:val="000000"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 xml:space="preserve">Time at which </w:t>
            </w:r>
            <w:proofErr w:type="spellStart"/>
            <w:r w:rsidRPr="00A11200">
              <w:rPr>
                <w:bCs/>
                <w:sz w:val="18"/>
                <w:szCs w:val="18"/>
              </w:rPr>
              <w:t>Cmax</w:t>
            </w:r>
            <w:proofErr w:type="spellEnd"/>
            <w:r w:rsidRPr="00A11200">
              <w:rPr>
                <w:bCs/>
                <w:sz w:val="18"/>
                <w:szCs w:val="18"/>
              </w:rPr>
              <w:t xml:space="preserve"> predicted or observed occurs</w:t>
            </w:r>
          </w:p>
        </w:tc>
      </w:tr>
      <w:tr w:rsidR="004E1406" w:rsidRPr="00C04FEE" w14:paraId="7CEBB1DD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5B1D0635" w14:textId="77777777" w:rsidR="004E1406" w:rsidRPr="00A11200" w:rsidRDefault="004E1406" w:rsidP="00F4723C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Alpha</w:t>
            </w:r>
          </w:p>
        </w:tc>
        <w:tc>
          <w:tcPr>
            <w:tcW w:w="7539" w:type="dxa"/>
            <w:noWrap/>
            <w:vAlign w:val="center"/>
            <w:hideMark/>
          </w:tcPr>
          <w:p w14:paraId="03841379" w14:textId="77777777" w:rsidR="004E1406" w:rsidRPr="00A11200" w:rsidRDefault="004E1406" w:rsidP="00F4723C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Hybrid rate constant of the alpha phase</w:t>
            </w:r>
          </w:p>
        </w:tc>
      </w:tr>
      <w:tr w:rsidR="004E1406" w:rsidRPr="00C04FEE" w14:paraId="24765520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7913723A" w14:textId="77777777" w:rsidR="004E1406" w:rsidRPr="00A11200" w:rsidRDefault="004E1406" w:rsidP="00F4723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Alpha_Half</w:t>
            </w:r>
            <w:proofErr w:type="spellEnd"/>
            <w:r w:rsidRPr="00A11200">
              <w:rPr>
                <w:bCs/>
                <w:sz w:val="18"/>
                <w:szCs w:val="18"/>
              </w:rPr>
              <w:t>-life</w:t>
            </w:r>
          </w:p>
        </w:tc>
        <w:tc>
          <w:tcPr>
            <w:tcW w:w="7539" w:type="dxa"/>
            <w:noWrap/>
            <w:vAlign w:val="center"/>
            <w:hideMark/>
          </w:tcPr>
          <w:p w14:paraId="7A122084" w14:textId="77777777" w:rsidR="004E1406" w:rsidRPr="00A11200" w:rsidRDefault="004E1406" w:rsidP="00F4723C">
            <w:pPr>
              <w:rPr>
                <w:bCs/>
                <w:color w:val="000000"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Half-life for the alpha phase</w:t>
            </w:r>
          </w:p>
        </w:tc>
      </w:tr>
      <w:tr w:rsidR="004E1406" w:rsidRPr="00C04FEE" w14:paraId="6F635AC4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6AAC7920" w14:textId="77777777" w:rsidR="004E1406" w:rsidRPr="00A11200" w:rsidRDefault="004E1406" w:rsidP="00F4723C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Beta</w:t>
            </w:r>
          </w:p>
        </w:tc>
        <w:tc>
          <w:tcPr>
            <w:tcW w:w="7539" w:type="dxa"/>
            <w:noWrap/>
            <w:vAlign w:val="center"/>
            <w:hideMark/>
          </w:tcPr>
          <w:p w14:paraId="75AFABEB" w14:textId="77777777" w:rsidR="004E1406" w:rsidRPr="00A11200" w:rsidRDefault="004E1406" w:rsidP="00F4723C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Hybrid rate constant of the beta phase</w:t>
            </w:r>
          </w:p>
        </w:tc>
      </w:tr>
      <w:tr w:rsidR="004E1406" w:rsidRPr="00C04FEE" w14:paraId="04E49997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519E0FE8" w14:textId="77777777" w:rsidR="004E1406" w:rsidRPr="00A11200" w:rsidRDefault="004E1406" w:rsidP="00F4723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Beta_Half</w:t>
            </w:r>
            <w:proofErr w:type="spellEnd"/>
            <w:r w:rsidRPr="00A11200">
              <w:rPr>
                <w:bCs/>
                <w:sz w:val="18"/>
                <w:szCs w:val="18"/>
              </w:rPr>
              <w:t>-life</w:t>
            </w:r>
          </w:p>
        </w:tc>
        <w:tc>
          <w:tcPr>
            <w:tcW w:w="7539" w:type="dxa"/>
            <w:noWrap/>
            <w:vAlign w:val="center"/>
            <w:hideMark/>
          </w:tcPr>
          <w:p w14:paraId="37D5171E" w14:textId="77777777" w:rsidR="004E1406" w:rsidRPr="00A11200" w:rsidRDefault="004E1406" w:rsidP="00F4723C">
            <w:pPr>
              <w:rPr>
                <w:bCs/>
                <w:color w:val="000000"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Half-life for the beta phase; elimination half-life</w:t>
            </w:r>
          </w:p>
        </w:tc>
      </w:tr>
      <w:tr w:rsidR="00A448AA" w:rsidRPr="00C04FEE" w14:paraId="225D36E3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46AF" w14:textId="363FE606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A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5907" w14:textId="4C68391D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color w:val="000000"/>
                <w:sz w:val="18"/>
                <w:szCs w:val="18"/>
              </w:rPr>
              <w:t>Hybrid concentration constant of the alpha phase</w:t>
            </w:r>
          </w:p>
        </w:tc>
      </w:tr>
      <w:tr w:rsidR="00A448AA" w:rsidRPr="00C04FEE" w14:paraId="1C47286D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7808" w14:textId="5563EB92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B562" w14:textId="7551184D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color w:val="000000"/>
                <w:sz w:val="18"/>
                <w:szCs w:val="18"/>
              </w:rPr>
              <w:t>Hybrid concentration constant of the beta phase</w:t>
            </w:r>
          </w:p>
        </w:tc>
      </w:tr>
      <w:tr w:rsidR="00A448AA" w:rsidRPr="00C04FEE" w14:paraId="1CCE0F87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F877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Lambda_z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D96C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 xml:space="preserve">Noncompartmental analysis (NCA) terminal elimination rate constant, NCA </w:t>
            </w:r>
            <w:proofErr w:type="spellStart"/>
            <w:r w:rsidRPr="00A11200">
              <w:rPr>
                <w:bCs/>
                <w:sz w:val="18"/>
                <w:szCs w:val="18"/>
              </w:rPr>
              <w:t>ke</w:t>
            </w:r>
            <w:proofErr w:type="spellEnd"/>
            <w:r w:rsidRPr="00A11200">
              <w:rPr>
                <w:bCs/>
                <w:sz w:val="18"/>
                <w:szCs w:val="18"/>
              </w:rPr>
              <w:t xml:space="preserve"> or </w:t>
            </w:r>
            <w:proofErr w:type="spellStart"/>
            <w:r w:rsidRPr="00A11200">
              <w:rPr>
                <w:bCs/>
                <w:sz w:val="18"/>
                <w:szCs w:val="18"/>
              </w:rPr>
              <w:t>kelim</w:t>
            </w:r>
            <w:proofErr w:type="spellEnd"/>
          </w:p>
        </w:tc>
      </w:tr>
      <w:tr w:rsidR="00A448AA" w:rsidRPr="00C04FEE" w14:paraId="185F99B1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7B4C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HL_Lambda_z</w:t>
            </w:r>
            <w:proofErr w:type="spellEnd"/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D080" w14:textId="1FA4482B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 xml:space="preserve">Lambda z Half-life, t </w:t>
            </w:r>
            <w:r w:rsidRPr="00A11200">
              <w:rPr>
                <w:bCs/>
                <w:sz w:val="18"/>
                <w:szCs w:val="18"/>
                <w:vertAlign w:val="subscript"/>
              </w:rPr>
              <w:t>1/2</w:t>
            </w:r>
            <w:r w:rsidRPr="00A11200">
              <w:rPr>
                <w:bCs/>
                <w:sz w:val="18"/>
                <w:szCs w:val="18"/>
              </w:rPr>
              <w:t>, the terminal elimination half-life based on NCA</w:t>
            </w:r>
          </w:p>
        </w:tc>
      </w:tr>
      <w:tr w:rsidR="00A448AA" w:rsidRPr="00C04FEE" w14:paraId="5E21D0F3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2697D0F4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k01</w:t>
            </w:r>
          </w:p>
        </w:tc>
        <w:tc>
          <w:tcPr>
            <w:tcW w:w="7539" w:type="dxa"/>
            <w:noWrap/>
            <w:vAlign w:val="center"/>
            <w:hideMark/>
          </w:tcPr>
          <w:p w14:paraId="2937D637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 xml:space="preserve">Absorption rate constant from the central compartment </w:t>
            </w:r>
          </w:p>
        </w:tc>
      </w:tr>
      <w:tr w:rsidR="00A448AA" w:rsidRPr="00C04FEE" w14:paraId="59981B85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5259D35E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k01_Half-life</w:t>
            </w:r>
          </w:p>
        </w:tc>
        <w:tc>
          <w:tcPr>
            <w:tcW w:w="7539" w:type="dxa"/>
            <w:noWrap/>
            <w:vAlign w:val="center"/>
            <w:hideMark/>
          </w:tcPr>
          <w:p w14:paraId="5B0E95DD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Half-life for the absorption process from the central compartment</w:t>
            </w:r>
          </w:p>
        </w:tc>
      </w:tr>
      <w:tr w:rsidR="00A448AA" w:rsidRPr="00C04FEE" w14:paraId="08B0BFB8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3B64AE29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k10</w:t>
            </w:r>
          </w:p>
        </w:tc>
        <w:tc>
          <w:tcPr>
            <w:tcW w:w="7539" w:type="dxa"/>
            <w:noWrap/>
            <w:vAlign w:val="center"/>
            <w:hideMark/>
          </w:tcPr>
          <w:p w14:paraId="207A2381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 xml:space="preserve">Elimination rate constant from the central compartment also </w:t>
            </w:r>
            <w:proofErr w:type="spellStart"/>
            <w:r w:rsidRPr="00A11200">
              <w:rPr>
                <w:bCs/>
                <w:sz w:val="18"/>
                <w:szCs w:val="18"/>
              </w:rPr>
              <w:t>ke</w:t>
            </w:r>
            <w:proofErr w:type="spellEnd"/>
            <w:r w:rsidRPr="00A11200">
              <w:rPr>
                <w:bCs/>
                <w:sz w:val="18"/>
                <w:szCs w:val="18"/>
              </w:rPr>
              <w:t xml:space="preserve"> or </w:t>
            </w:r>
            <w:proofErr w:type="spellStart"/>
            <w:r w:rsidRPr="00A11200">
              <w:rPr>
                <w:bCs/>
                <w:sz w:val="18"/>
                <w:szCs w:val="18"/>
              </w:rPr>
              <w:t>kelim</w:t>
            </w:r>
            <w:proofErr w:type="spellEnd"/>
          </w:p>
        </w:tc>
      </w:tr>
      <w:tr w:rsidR="00A448AA" w:rsidRPr="00C04FEE" w14:paraId="704F8150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7FB79DA1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k10_Half-life</w:t>
            </w:r>
          </w:p>
        </w:tc>
        <w:tc>
          <w:tcPr>
            <w:tcW w:w="7539" w:type="dxa"/>
            <w:noWrap/>
            <w:vAlign w:val="center"/>
            <w:hideMark/>
          </w:tcPr>
          <w:p w14:paraId="422714A3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Half-life for the elimination process from the central compartment</w:t>
            </w:r>
          </w:p>
        </w:tc>
      </w:tr>
      <w:tr w:rsidR="00A448AA" w:rsidRPr="00C04FEE" w14:paraId="44272884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3520BA92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k12</w:t>
            </w:r>
          </w:p>
        </w:tc>
        <w:tc>
          <w:tcPr>
            <w:tcW w:w="7539" w:type="dxa"/>
            <w:noWrap/>
            <w:vAlign w:val="center"/>
            <w:hideMark/>
          </w:tcPr>
          <w:p w14:paraId="43A24B14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Distribution rate constant from first to second compartment etc.</w:t>
            </w:r>
          </w:p>
        </w:tc>
      </w:tr>
      <w:tr w:rsidR="00A448AA" w:rsidRPr="00C04FEE" w14:paraId="2A4F6889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2D4A1929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k21</w:t>
            </w:r>
          </w:p>
        </w:tc>
        <w:tc>
          <w:tcPr>
            <w:tcW w:w="7539" w:type="dxa"/>
            <w:noWrap/>
            <w:vAlign w:val="center"/>
            <w:hideMark/>
          </w:tcPr>
          <w:p w14:paraId="0EB3FF22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Distribution rate constant from second to first compartment etc.</w:t>
            </w:r>
          </w:p>
        </w:tc>
      </w:tr>
      <w:tr w:rsidR="00A448AA" w:rsidRPr="00C04FEE" w14:paraId="6C01B4B5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436A178D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CL_F</w:t>
            </w:r>
          </w:p>
        </w:tc>
        <w:tc>
          <w:tcPr>
            <w:tcW w:w="7539" w:type="dxa"/>
            <w:noWrap/>
            <w:vAlign w:val="center"/>
            <w:hideMark/>
          </w:tcPr>
          <w:p w14:paraId="58165683" w14:textId="77777777" w:rsidR="00A448AA" w:rsidRPr="00A11200" w:rsidRDefault="00A448AA" w:rsidP="00A448AA">
            <w:pPr>
              <w:rPr>
                <w:bCs/>
                <w:color w:val="000000"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Clearance, includes total clearance</w:t>
            </w:r>
          </w:p>
        </w:tc>
      </w:tr>
      <w:tr w:rsidR="00A448AA" w:rsidRPr="00C04FEE" w14:paraId="78F8EDD8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187E6AC8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CLD2</w:t>
            </w:r>
          </w:p>
        </w:tc>
        <w:tc>
          <w:tcPr>
            <w:tcW w:w="7539" w:type="dxa"/>
            <w:noWrap/>
            <w:vAlign w:val="center"/>
            <w:hideMark/>
          </w:tcPr>
          <w:p w14:paraId="44D34B34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Clearance of the secondary compartment</w:t>
            </w:r>
          </w:p>
        </w:tc>
      </w:tr>
      <w:tr w:rsidR="00A448AA" w:rsidRPr="00C04FEE" w14:paraId="5955F17F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00C95D27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V1</w:t>
            </w:r>
          </w:p>
        </w:tc>
        <w:tc>
          <w:tcPr>
            <w:tcW w:w="7539" w:type="dxa"/>
            <w:noWrap/>
            <w:vAlign w:val="center"/>
            <w:hideMark/>
          </w:tcPr>
          <w:p w14:paraId="48074103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 xml:space="preserve">Volume of distribution of the central compartment, includes </w:t>
            </w:r>
            <w:proofErr w:type="spellStart"/>
            <w:r w:rsidRPr="00A11200">
              <w:rPr>
                <w:bCs/>
                <w:sz w:val="18"/>
                <w:szCs w:val="18"/>
              </w:rPr>
              <w:t>Vd</w:t>
            </w:r>
            <w:proofErr w:type="spellEnd"/>
            <w:r w:rsidRPr="00A11200">
              <w:rPr>
                <w:bCs/>
                <w:sz w:val="18"/>
                <w:szCs w:val="18"/>
              </w:rPr>
              <w:t xml:space="preserve"> and V volume of distribution.</w:t>
            </w:r>
          </w:p>
        </w:tc>
      </w:tr>
      <w:tr w:rsidR="00A448AA" w:rsidRPr="00C04FEE" w14:paraId="5FF7AAFF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511E7F89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V2</w:t>
            </w:r>
          </w:p>
        </w:tc>
        <w:tc>
          <w:tcPr>
            <w:tcW w:w="7539" w:type="dxa"/>
            <w:noWrap/>
            <w:vAlign w:val="center"/>
            <w:hideMark/>
          </w:tcPr>
          <w:p w14:paraId="1A0F81EA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Volume of distribution for the peripheral compartment</w:t>
            </w:r>
          </w:p>
        </w:tc>
      </w:tr>
      <w:tr w:rsidR="00A448AA" w:rsidRPr="00C04FEE" w14:paraId="383C0CC6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3B67F34C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Vss</w:t>
            </w:r>
            <w:proofErr w:type="spellEnd"/>
          </w:p>
        </w:tc>
        <w:tc>
          <w:tcPr>
            <w:tcW w:w="7539" w:type="dxa"/>
            <w:noWrap/>
            <w:vAlign w:val="center"/>
            <w:hideMark/>
          </w:tcPr>
          <w:p w14:paraId="1DED6B5A" w14:textId="77777777" w:rsidR="00A448AA" w:rsidRPr="00A11200" w:rsidRDefault="00A448AA" w:rsidP="00A448AA">
            <w:pPr>
              <w:rPr>
                <w:bCs/>
                <w:color w:val="000000"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Volume of distribution at steady state</w:t>
            </w:r>
          </w:p>
        </w:tc>
      </w:tr>
      <w:tr w:rsidR="00A448AA" w:rsidRPr="00C04FEE" w14:paraId="02EDE10D" w14:textId="77777777" w:rsidTr="00F4723C">
        <w:trPr>
          <w:cantSplit/>
          <w:trHeight w:val="216"/>
          <w:jc w:val="center"/>
        </w:trPr>
        <w:tc>
          <w:tcPr>
            <w:tcW w:w="1816" w:type="dxa"/>
            <w:noWrap/>
            <w:vAlign w:val="center"/>
            <w:hideMark/>
          </w:tcPr>
          <w:p w14:paraId="72C2E0CB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AUC</w:t>
            </w:r>
          </w:p>
        </w:tc>
        <w:tc>
          <w:tcPr>
            <w:tcW w:w="7539" w:type="dxa"/>
            <w:noWrap/>
            <w:vAlign w:val="center"/>
            <w:hideMark/>
          </w:tcPr>
          <w:p w14:paraId="3936B5EC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Area under the blood concentration versus time curve; for compartmental models AUC is calculated as Dose/V*K10 and is similar to AUC</w:t>
            </w:r>
            <w:r w:rsidRPr="00A11200">
              <w:rPr>
                <w:bCs/>
                <w:sz w:val="18"/>
                <w:szCs w:val="18"/>
                <w:vertAlign w:val="subscript"/>
              </w:rPr>
              <w:t>0-</w:t>
            </w:r>
            <w:r w:rsidRPr="00A11200">
              <w:rPr>
                <w:rFonts w:ascii="Arial" w:hAnsi="Arial"/>
                <w:bCs/>
                <w:sz w:val="18"/>
                <w:szCs w:val="18"/>
                <w:vertAlign w:val="subscript"/>
              </w:rPr>
              <w:t>∞</w:t>
            </w:r>
          </w:p>
        </w:tc>
      </w:tr>
      <w:tr w:rsidR="00A448AA" w:rsidRPr="00C04FEE" w14:paraId="0894A5CF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59AE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AUCINF_obs</w:t>
            </w:r>
            <w:proofErr w:type="spellEnd"/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5DA0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Area under the blood concentration versus time curve, AUC, extrapolated to time equals infinity</w:t>
            </w:r>
          </w:p>
        </w:tc>
      </w:tr>
      <w:tr w:rsidR="00A448AA" w:rsidRPr="00C04FEE" w14:paraId="14773C5B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B224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AUC_%</w:t>
            </w:r>
            <w:proofErr w:type="spellStart"/>
            <w:r w:rsidRPr="00A11200">
              <w:rPr>
                <w:bCs/>
                <w:sz w:val="18"/>
                <w:szCs w:val="18"/>
              </w:rPr>
              <w:t>Extrap_obs</w:t>
            </w:r>
            <w:proofErr w:type="spellEnd"/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F4E9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 xml:space="preserve">Percentage of </w:t>
            </w:r>
            <w:proofErr w:type="spellStart"/>
            <w:r w:rsidRPr="00A11200">
              <w:rPr>
                <w:bCs/>
                <w:sz w:val="18"/>
                <w:szCs w:val="18"/>
              </w:rPr>
              <w:t>AUCINFobs</w:t>
            </w:r>
            <w:proofErr w:type="spellEnd"/>
            <w:r w:rsidRPr="00A11200">
              <w:rPr>
                <w:bCs/>
                <w:sz w:val="18"/>
                <w:szCs w:val="18"/>
              </w:rPr>
              <w:t xml:space="preserve"> that is extrapolated</w:t>
            </w:r>
          </w:p>
        </w:tc>
      </w:tr>
      <w:tr w:rsidR="00A448AA" w:rsidRPr="00C04FEE" w14:paraId="5DC29E97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1AE4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AUC/D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80A2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>Dose normalized AUC</w:t>
            </w:r>
          </w:p>
        </w:tc>
      </w:tr>
      <w:tr w:rsidR="00A448AA" w:rsidRPr="00C04FEE" w14:paraId="1A0EE162" w14:textId="77777777" w:rsidTr="00F4723C">
        <w:trPr>
          <w:cantSplit/>
          <w:trHeight w:val="21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FB99" w14:textId="77777777" w:rsidR="00A448AA" w:rsidRPr="00A11200" w:rsidRDefault="00A448AA" w:rsidP="00A448A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1200">
              <w:rPr>
                <w:bCs/>
                <w:sz w:val="18"/>
                <w:szCs w:val="18"/>
              </w:rPr>
              <w:t>AUCINF_obs</w:t>
            </w:r>
            <w:proofErr w:type="spellEnd"/>
            <w:r w:rsidRPr="00A11200">
              <w:rPr>
                <w:bCs/>
                <w:sz w:val="18"/>
                <w:szCs w:val="18"/>
              </w:rPr>
              <w:t>/D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CFE8" w14:textId="77777777" w:rsidR="00A448AA" w:rsidRPr="00A11200" w:rsidRDefault="00A448AA" w:rsidP="00A448AA">
            <w:pPr>
              <w:rPr>
         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al="18"/>
              </w:rPr>
              <w:t xml:space="preserve">Dose normalized </w:t>
            </w:r>
            <w:proofErr w:type="spellStart"/>
            <w:r w:rsidRPr="00A11200">
              <w:rPr>
                <w:bCs/>
                <w:sz w:val="18"/>
                <w:szCs w:val="18"/>
              </w:rPr>
              <w:t>AUCINFobs</w:t>
            </w:r>
            <w:proofErr w:type="spellEnd"/>
          </w:p>
        </w:tc>
      </w:tr>
    </w:tbl>
    <w:p w14:paraId="36797A43" w14:textId="77777777" w:rsidR="004E1406" w:rsidRDefault="004E1406" w:rsidP="004E1406">
      <w:r>
        <w:br w:type="page"/>
      </w:r>
    </w:p>
    <w:p w14:paraId="26B47C95" w14:textId="43F4420E" w:rsidR="005B4E4D" w:rsidRPr="009E643B" w:rsidRDefault="005B4E4D">
      <w:pPr>
        <w:rPr>
          <w:rFonts w:cstheme="minorHAnsi"/>
          <w:sz w:val="22"/>
          <w:szCs w:val="22"/>
        </w:rPr>
      </w:pPr>
      <w:r w:rsidRPr="009E643B">
        <w:rPr>
          <w:rFonts w:cstheme="minorHAnsi"/>
          <w:sz w:val="22"/>
          <w:szCs w:val="22"/>
        </w:rPr>
        <w:lastRenderedPageBreak/>
        <w:br w:type="page"/>
      </w:r>
    </w:p>
    <w:p w14:paraId="31662EC2" w14:textId="56AA8CE4" w:rsidR="00176421" w:rsidRPr="009E643B" w:rsidRDefault="00176421" w:rsidP="006F6DCE">
      <w:pPr>
        <w:rPr>
          <w:rFonts w:cstheme="minorHAnsi"/>
          <w:sz w:val="22"/>
          <w:szCs w:val="22"/>
        </w:rPr>
      </w:pPr>
    </w:p>
    <w:sectPr w:rsidR="00176421" w:rsidRPr="009E643B" w:rsidSect="0013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1918"/>
    <w:multiLevelType w:val="hybridMultilevel"/>
    <w:tmpl w:val="A96CFDD8"/>
    <w:lvl w:ilvl="0" w:tplc="19B0F1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65A8D"/>
    <w:multiLevelType w:val="hybridMultilevel"/>
    <w:tmpl w:val="7F5EBDE6"/>
    <w:lvl w:ilvl="0" w:tplc="BE72C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68365">
    <w:abstractNumId w:val="1"/>
  </w:num>
  <w:num w:numId="2" w16cid:durableId="204597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3E"/>
    <w:rsid w:val="00006264"/>
    <w:rsid w:val="00040886"/>
    <w:rsid w:val="00062054"/>
    <w:rsid w:val="00067035"/>
    <w:rsid w:val="00074AC5"/>
    <w:rsid w:val="00081DD7"/>
    <w:rsid w:val="00084FCA"/>
    <w:rsid w:val="00093B89"/>
    <w:rsid w:val="000C2F5F"/>
    <w:rsid w:val="000D20FA"/>
    <w:rsid w:val="000E740A"/>
    <w:rsid w:val="000F3D77"/>
    <w:rsid w:val="00113994"/>
    <w:rsid w:val="0016094A"/>
    <w:rsid w:val="00176421"/>
    <w:rsid w:val="00181BD4"/>
    <w:rsid w:val="001B3AE5"/>
    <w:rsid w:val="001B6CD5"/>
    <w:rsid w:val="001F72A7"/>
    <w:rsid w:val="00213856"/>
    <w:rsid w:val="00237A4A"/>
    <w:rsid w:val="00253844"/>
    <w:rsid w:val="00271DB5"/>
    <w:rsid w:val="00272750"/>
    <w:rsid w:val="002836ED"/>
    <w:rsid w:val="002A58B8"/>
    <w:rsid w:val="002A6594"/>
    <w:rsid w:val="002C1D55"/>
    <w:rsid w:val="002E6C37"/>
    <w:rsid w:val="00307783"/>
    <w:rsid w:val="00317554"/>
    <w:rsid w:val="00336847"/>
    <w:rsid w:val="00361457"/>
    <w:rsid w:val="00361F45"/>
    <w:rsid w:val="00362D6E"/>
    <w:rsid w:val="0038540F"/>
    <w:rsid w:val="00391FFA"/>
    <w:rsid w:val="003A28E4"/>
    <w:rsid w:val="003F6EF4"/>
    <w:rsid w:val="00401F1A"/>
    <w:rsid w:val="0045046F"/>
    <w:rsid w:val="00452ABD"/>
    <w:rsid w:val="00474E22"/>
    <w:rsid w:val="004A42AC"/>
    <w:rsid w:val="004E1406"/>
    <w:rsid w:val="004F5F07"/>
    <w:rsid w:val="00502359"/>
    <w:rsid w:val="005323FD"/>
    <w:rsid w:val="005447AC"/>
    <w:rsid w:val="00544F22"/>
    <w:rsid w:val="0055066C"/>
    <w:rsid w:val="00570928"/>
    <w:rsid w:val="005B4E4D"/>
    <w:rsid w:val="005D18FA"/>
    <w:rsid w:val="005E2978"/>
    <w:rsid w:val="005E7569"/>
    <w:rsid w:val="005F5FE7"/>
    <w:rsid w:val="00600D68"/>
    <w:rsid w:val="00607EA5"/>
    <w:rsid w:val="006252BC"/>
    <w:rsid w:val="0068056B"/>
    <w:rsid w:val="00691F4C"/>
    <w:rsid w:val="006A2263"/>
    <w:rsid w:val="006A22A8"/>
    <w:rsid w:val="006F16A1"/>
    <w:rsid w:val="006F6DCE"/>
    <w:rsid w:val="0070061B"/>
    <w:rsid w:val="0070581D"/>
    <w:rsid w:val="00730D31"/>
    <w:rsid w:val="00741936"/>
    <w:rsid w:val="00750993"/>
    <w:rsid w:val="00760D30"/>
    <w:rsid w:val="007A3D93"/>
    <w:rsid w:val="007B2217"/>
    <w:rsid w:val="007B408E"/>
    <w:rsid w:val="007E689E"/>
    <w:rsid w:val="00804E1B"/>
    <w:rsid w:val="0080588D"/>
    <w:rsid w:val="00812B13"/>
    <w:rsid w:val="008139F6"/>
    <w:rsid w:val="0085416D"/>
    <w:rsid w:val="008630B0"/>
    <w:rsid w:val="008B3AF1"/>
    <w:rsid w:val="008B4898"/>
    <w:rsid w:val="008F4062"/>
    <w:rsid w:val="008F49FF"/>
    <w:rsid w:val="0090018E"/>
    <w:rsid w:val="00901113"/>
    <w:rsid w:val="00921FC5"/>
    <w:rsid w:val="00924FE3"/>
    <w:rsid w:val="009338BF"/>
    <w:rsid w:val="00941DE4"/>
    <w:rsid w:val="00942F77"/>
    <w:rsid w:val="00956FAD"/>
    <w:rsid w:val="009575F3"/>
    <w:rsid w:val="00963073"/>
    <w:rsid w:val="00966888"/>
    <w:rsid w:val="00967604"/>
    <w:rsid w:val="009763E2"/>
    <w:rsid w:val="00994EE7"/>
    <w:rsid w:val="0099502F"/>
    <w:rsid w:val="009D5339"/>
    <w:rsid w:val="009E643B"/>
    <w:rsid w:val="009E6A7B"/>
    <w:rsid w:val="00A10B94"/>
    <w:rsid w:val="00A11200"/>
    <w:rsid w:val="00A20246"/>
    <w:rsid w:val="00A37D1F"/>
    <w:rsid w:val="00A443A3"/>
    <w:rsid w:val="00A448AA"/>
    <w:rsid w:val="00A60D3E"/>
    <w:rsid w:val="00A62B58"/>
    <w:rsid w:val="00A97643"/>
    <w:rsid w:val="00AA2DBD"/>
    <w:rsid w:val="00AE6275"/>
    <w:rsid w:val="00AF6027"/>
    <w:rsid w:val="00B31166"/>
    <w:rsid w:val="00B3764B"/>
    <w:rsid w:val="00B90E4C"/>
    <w:rsid w:val="00BA63A5"/>
    <w:rsid w:val="00C4623F"/>
    <w:rsid w:val="00C57E19"/>
    <w:rsid w:val="00C71224"/>
    <w:rsid w:val="00C7642E"/>
    <w:rsid w:val="00CB1506"/>
    <w:rsid w:val="00CC17F8"/>
    <w:rsid w:val="00CE1AA4"/>
    <w:rsid w:val="00CE3D42"/>
    <w:rsid w:val="00CE75F3"/>
    <w:rsid w:val="00D32B50"/>
    <w:rsid w:val="00D3372C"/>
    <w:rsid w:val="00D36D69"/>
    <w:rsid w:val="00D553CE"/>
    <w:rsid w:val="00D577EA"/>
    <w:rsid w:val="00D6223F"/>
    <w:rsid w:val="00DB4865"/>
    <w:rsid w:val="00EA11BE"/>
    <w:rsid w:val="00ED224E"/>
    <w:rsid w:val="00EF23B9"/>
    <w:rsid w:val="00F07600"/>
    <w:rsid w:val="00F21336"/>
    <w:rsid w:val="00F34840"/>
    <w:rsid w:val="00F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B69F"/>
  <w15:chartTrackingRefBased/>
  <w15:docId w15:val="{1E7016D6-271A-274E-806C-AD104EDC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113"/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1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60D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3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E3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D4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D42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018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13994"/>
  </w:style>
  <w:style w:type="paragraph" w:styleId="Revision">
    <w:name w:val="Revision"/>
    <w:hidden/>
    <w:uiPriority w:val="99"/>
    <w:semiHidden/>
    <w:rsid w:val="00CE1AA4"/>
    <w:rPr>
      <w:rFonts w:eastAsiaTheme="minorEastAsia"/>
    </w:rPr>
  </w:style>
  <w:style w:type="paragraph" w:styleId="NormalIndent">
    <w:name w:val="Normal Indent"/>
    <w:basedOn w:val="Normal"/>
    <w:rsid w:val="004E1406"/>
    <w:pPr>
      <w:spacing w:after="240"/>
      <w:ind w:left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b8662-8e58-4ce2-8f93-98280d5ba5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2E94A9D0F24D93E363CBA30CF1E9" ma:contentTypeVersion="12" ma:contentTypeDescription="Create a new document." ma:contentTypeScope="" ma:versionID="e2c13aba39cf0f72312168ee4077c132">
  <xsd:schema xmlns:xsd="http://www.w3.org/2001/XMLSchema" xmlns:xs="http://www.w3.org/2001/XMLSchema" xmlns:p="http://schemas.microsoft.com/office/2006/metadata/properties" xmlns:ns2="2bdb8662-8e58-4ce2-8f93-98280d5ba547" targetNamespace="http://schemas.microsoft.com/office/2006/metadata/properties" ma:root="true" ma:fieldsID="17335e94243508de4ebf2d1f12063373" ns2:_="">
    <xsd:import namespace="2bdb8662-8e58-4ce2-8f93-98280d5ba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8662-8e58-4ce2-8f93-98280d5ba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0ABDE-A16B-448C-BABE-6109F867611D}">
  <ds:schemaRefs>
    <ds:schemaRef ds:uri="http://schemas.microsoft.com/office/2006/metadata/properties"/>
    <ds:schemaRef ds:uri="http://schemas.microsoft.com/office/infopath/2007/PartnerControls"/>
    <ds:schemaRef ds:uri="2bdb8662-8e58-4ce2-8f93-98280d5ba547"/>
  </ds:schemaRefs>
</ds:datastoreItem>
</file>

<file path=customXml/itemProps2.xml><?xml version="1.0" encoding="utf-8"?>
<ds:datastoreItem xmlns:ds="http://schemas.openxmlformats.org/officeDocument/2006/customXml" ds:itemID="{A7448E6F-88A9-41BA-9524-B8D1EA4C06CA}"/>
</file>

<file path=customXml/itemProps3.xml><?xml version="1.0" encoding="utf-8"?>
<ds:datastoreItem xmlns:ds="http://schemas.openxmlformats.org/officeDocument/2006/customXml" ds:itemID="{89495F5F-246A-4CAB-AA93-6164CA434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Waidyanatha, Suramya (NIH/NIEHS) [E]</dc:creator>
  <cp:keywords/>
  <dc:description/>
  <cp:lastModifiedBy>Suramya Waidyanatha</cp:lastModifiedBy>
  <cp:revision>41</cp:revision>
  <dcterms:created xsi:type="dcterms:W3CDTF">2020-08-24T00:10:00Z</dcterms:created>
  <dcterms:modified xsi:type="dcterms:W3CDTF">2025-11-04T16:59:00Z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0x010100A0052E94A9D0F24D93E363CBA30CF1E9</vt:lpwstr>
  </property>
  <property fmtid="{D5CDD505-2E9C-101B-9397-08002B2CF9AE}" pid="3" name="MediaServiceImageTags">
    <vt:lpwstr/>
  </property>
</Properties>
</file>