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C-C Motif Chemokine Ligand 7, MCP-3, NC28, MCP3, Monocyte Chemoattractant Protein 3, Monocyte Chemotactic Protein 3, SCYA6, SCYA7, MARC, FIC, Small Inducible Cytokine A7 (Monocyte Chemotactic Protein 3), Chemokine (C-C Motif) Ligand 7, Small-Inducible Cytokine A7, C-C Motif Chemokine 7 [</w:t>
      </w:r>
      <w:hyperlink r:id="rId20">
        <w:r>
          <w:rPr>
            <w:rStyle w:val="Hyperlink"/>
          </w:rPr>
          <w:t xml:space="preserve">https://www.genecards.org/cgi-bin/carddisp.pl?gene=MYBL2&amp;keywords=mybl2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Increased MCP-3 gene expression associated with interleukin 6 dependent epigenetic modification at the MCP-3 promoter after nerve injury, mostly in spinal astrocytes, may serve to facilitate astrocyte-microglia interaction in the spinal cord and could play a critical role in the neuropathic pain-like state [PMID: 23364351].</w:t>
      </w:r>
    </w:p>
    <w:p>
      <w:pPr>
        <w:numPr>
          <w:ilvl w:val="0"/>
          <w:numId w:val="1002"/>
        </w:numPr>
        <w:pStyle w:val="Compact"/>
      </w:pPr>
      <w:r>
        <w:t xml:space="preserve">Chronic constriction injury (CCI) of the murine sciatic nerve led to significant increases in Ccl7 mRNA levels in the spinal cord. Ccl7 signaling through CCR1 and CCR3 influenced the development and persistence of neuropathic pain, and inhibition of Ccl7 production or blockade of these receptors reduced neuropathic pain-like behavior [PMID: 36611891, PMID: 34795678]. Chemokines CCL7 plays a significant role in neuropathic pain development [PMID: 31003094].</w:t>
      </w:r>
    </w:p>
    <w:p>
      <w:pPr>
        <w:numPr>
          <w:ilvl w:val="0"/>
          <w:numId w:val="1002"/>
        </w:numPr>
        <w:pStyle w:val="Compact"/>
      </w:pPr>
      <w:r>
        <w:t xml:space="preserve">In the context of neuropathic pain and nerve regeneration following peripheral nerve injury (PNI), Ccl7 gene expression is significantly upregulated in the dorsal root ganglion [PMID: 29672183].</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P80098</w:t>
      </w:r>
    </w:p>
    <w:p>
      <w:pPr>
        <w:numPr>
          <w:ilvl w:val="0"/>
          <w:numId w:val="1003"/>
        </w:numPr>
        <w:pStyle w:val="Compact"/>
      </w:pPr>
      <w:r>
        <w:t xml:space="preserve">Size: 99 amino acids</w:t>
      </w:r>
    </w:p>
    <w:p>
      <w:pPr>
        <w:numPr>
          <w:ilvl w:val="0"/>
          <w:numId w:val="1003"/>
        </w:numPr>
        <w:pStyle w:val="Compact"/>
      </w:pPr>
      <w:r>
        <w:t xml:space="preserve">Molecular mass: 11200 Da</w:t>
      </w:r>
    </w:p>
    <w:p>
      <w:pPr>
        <w:numPr>
          <w:ilvl w:val="0"/>
          <w:numId w:val="1003"/>
        </w:numPr>
        <w:pStyle w:val="Compact"/>
      </w:pPr>
      <w:r>
        <w:t xml:space="preserve">Domains: Chemokine_b/g/d, Chemokine_CC_CS, Chemokine_IL8-like_dom, Interleukin_8-like_sf</w:t>
      </w:r>
    </w:p>
    <w:p>
      <w:pPr>
        <w:numPr>
          <w:ilvl w:val="0"/>
          <w:numId w:val="1003"/>
        </w:numPr>
        <w:pStyle w:val="Compact"/>
      </w:pPr>
      <w:r>
        <w:t xml:space="preserve">Family: Belongs to the intercrine beta (chemokine CC) family</w:t>
      </w:r>
    </w:p>
    <w:p>
      <w:pPr>
        <w:numPr>
          <w:ilvl w:val="0"/>
          <w:numId w:val="1003"/>
        </w:numPr>
        <w:pStyle w:val="Compact"/>
      </w:pPr>
      <w:r>
        <w:t xml:space="preserve">MCP-1, MCP-2 and MCP-3 can be classified in a subfamily of proinflammatory proteins characterized by the conservation of cysteine residues. MCP-2 and MCP-3 are also functionally related to MCP-1 because they specifically attract monocytes [PMID: 1613466]. Monocyte chemotactic protein-3 (MCP3) interacts with multiple leukocyte receptors: binding and signaling of MCP3 through shared as well as unique receptors on monocytes and neutrophils [PMID: 7589134]. The chemokines MCP-2 and MCP-3 were also active attractants for activated natural killer (NK) cells [PMID: 7805752].</w:t>
      </w:r>
    </w:p>
    <w:p>
      <w:pPr>
        <w:numPr>
          <w:ilvl w:val="0"/>
          <w:numId w:val="1003"/>
        </w:numPr>
        <w:pStyle w:val="Compact"/>
      </w:pPr>
      <w:r>
        <w:t xml:space="preserve">The chemokine CCL7, a member of the G protein-coupled receptors (GPCRs) family, maintains a well-folded three-dimensional structure that induces coupling of heterotrimeric G-proteins and beta-arrestins for selected chemokine receptors in cellular systems, with modifications to the N-terminus compromising its functionality [PMID: 32145391]. Monocyte chemotactic protein-3 (MCP3) interacts with multiple leukocyte receptors. C-C CKR1, a receptor for macrophage inflammatory protein-1 alpha/Rantes, is also a functional receptor for MCP3 [PMID: 7545673].</w:t>
      </w:r>
    </w:p>
    <w:p>
      <w:pPr>
        <w:numPr>
          <w:ilvl w:val="0"/>
          <w:numId w:val="1003"/>
        </w:numPr>
        <w:pStyle w:val="Compact"/>
      </w:pPr>
      <w:r>
        <w:t xml:space="preserve">The chemokine ligand CCL7, interacting with C-C motif chemokine receptor 1 (CCR1), reveals that the chemokine N-terminal region significantly contributes to binding affinity [PMID: 30567735].</w:t>
      </w:r>
    </w:p>
    <w:p>
      <w:pPr>
        <w:numPr>
          <w:ilvl w:val="0"/>
          <w:numId w:val="1003"/>
        </w:numPr>
        <w:pStyle w:val="Compact"/>
      </w:pPr>
      <w:r>
        <w:t xml:space="preserve">Monocyte chemotactic proteins (MCPs) are chemokines involved in macrophage recruitment during inflammation [PMID: 7916328]. CCL7 functions as a monomer and binds glycosaminoglycans (GAGs). The interaction of CCL7 with glycosaminoglycans (GAGs) facilitates the formation of localized chemokine gradients that provide directional signals for migrating cells [PMID: 24727473]. The GAG binding is also required for chemokine-driven inflammation in vivo [PMID: 16002730]. The MCP-3 chemokine acting on CCR3 induces a rapid shape change in eosinophils [PMID: 10072545].</w:t>
      </w:r>
    </w:p>
    <w:p>
      <w:pPr>
        <w:numPr>
          <w:ilvl w:val="0"/>
          <w:numId w:val="1003"/>
        </w:numPr>
        <w:pStyle w:val="Compact"/>
      </w:pPr>
      <w:r>
        <w:t xml:space="preserve">The Duffy antigen receptor, a seven-transmembrane protein, exhibits a unique binding mode with chemokine CCL7, characterized by superficial binding and a partially formed orthosteric binding pocket [PMID: 39089252].</w:t>
      </w:r>
    </w:p>
    <w:p>
      <w:pPr>
        <w:numPr>
          <w:ilvl w:val="0"/>
          <w:numId w:val="1003"/>
        </w:numPr>
        <w:pStyle w:val="Compact"/>
      </w:pPr>
      <w:r>
        <w:t xml:space="preserve">CCL7 can induce steady neutrophil migration by increasing intracellular Ca2+ flux [PMID: 9647242].</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CCR1</w:t>
      </w:r>
      <w:r>
        <w:t xml:space="preserve"> </w:t>
      </w:r>
      <w:r>
        <w:t xml:space="preserve">C-C chemokine receptor type 1; Receptor for a C-C type chemokine. Binds to MIP-1-alpha, MIP- 1-delta, RANTES, and MCP-3 and, less efficiently, to MIP-1-beta or MCP- 1 and subsequently transduces a signal by increasing the intracellular calcium ions level. Responsible for affecting stem cell proliferation. [PMID: 12381680, PMID: 7545673, PMID: 8530354]</w:t>
      </w:r>
    </w:p>
    <w:p>
      <w:pPr>
        <w:numPr>
          <w:ilvl w:val="0"/>
          <w:numId w:val="1004"/>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[PMID: 7759884, PMID: 8530354, PMID: 9115216]</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10947989, PMID: 12149192]</w:t>
      </w:r>
    </w:p>
    <w:p>
      <w:pPr>
        <w:numPr>
          <w:ilvl w:val="0"/>
          <w:numId w:val="1004"/>
        </w:numPr>
        <w:pStyle w:val="Compact"/>
      </w:pPr>
      <w:r>
        <w:rPr>
          <w:bCs/>
          <w:b/>
        </w:rPr>
        <w:t xml:space="preserve">CCL7</w:t>
      </w:r>
      <w:r>
        <w:t xml:space="preserve"> </w:t>
      </w:r>
      <w:r>
        <w:t xml:space="preserve">C-C motif chemokine 7; Chemotactic factor that attracts monocytes and eosinophils, but not neutrophils. Augments monocyte anti-tumor activity. Also induces the release of gelatinase B. This protein can bind heparin. Binds to CCR1, CCR2 and CCR3. [PMID: 9109648, PMID: 9109648]</w:t>
      </w:r>
    </w:p>
    <w:p>
      <w:pPr>
        <w:numPr>
          <w:ilvl w:val="0"/>
          <w:numId w:val="1004"/>
        </w:numPr>
        <w:pStyle w:val="Compact"/>
      </w:pPr>
      <w:r>
        <w:rPr>
          <w:bCs/>
          <w:b/>
        </w:rPr>
        <w:t xml:space="preserve">CCR3</w:t>
      </w:r>
      <w:r>
        <w:t xml:space="preserve"> </w:t>
      </w:r>
      <w:r>
        <w:t xml:space="preserve">C-C chemokine receptor type 3; Receptor for C-C type chemokine. Binds and responds to a variety of chemokines, including CCL11, CCL26, CCL7, CCL13, RANTES(CCL5) and CCL15. Subsequently transduces a signal by increasing the intracellular calcium ions level. In addition acts as a possible functional receptor for NARS1. [PMID: 10733106, PMID: 8642344]</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10947989, PMID: 12149192]</w:t>
      </w:r>
    </w:p>
    <w:p>
      <w:pPr>
        <w:numPr>
          <w:ilvl w:val="0"/>
          <w:numId w:val="1004"/>
        </w:numPr>
        <w:pStyle w:val="Compact"/>
      </w:pPr>
      <w:r>
        <w:rPr>
          <w:bCs/>
          <w:b/>
        </w:rPr>
        <w:t xml:space="preserve">ACKR2</w:t>
      </w:r>
      <w:r>
        <w:t xml:space="preserve"> </w:t>
      </w:r>
      <w:r>
        <w:t xml:space="preserve">Atypical chemokine receptor 2;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[PMID: 9364936, PMID: 9405404]</w:t>
      </w:r>
    </w:p>
    <w:p>
      <w:pPr>
        <w:numPr>
          <w:ilvl w:val="0"/>
          <w:numId w:val="1004"/>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10947989, PMID: 12149192]</w:t>
      </w:r>
    </w:p>
    <w:p>
      <w:pPr>
        <w:numPr>
          <w:ilvl w:val="0"/>
          <w:numId w:val="1004"/>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10947989, PMID: 12149192]</w:t>
      </w:r>
    </w:p>
    <w:p>
      <w:pPr>
        <w:numPr>
          <w:ilvl w:val="0"/>
          <w:numId w:val="1004"/>
        </w:numPr>
        <w:pStyle w:val="Compact"/>
      </w:pPr>
      <w:r>
        <w:rPr>
          <w:bCs/>
          <w:b/>
        </w:rPr>
        <w:t xml:space="preserve">MMP13</w:t>
      </w:r>
      <w:r>
        <w:t xml:space="preserve"> </w:t>
      </w:r>
      <w:r>
        <w:t xml:space="preserve">Collagenase 3; Plays a role in the degradation of extracellular matrix proteins including fibrillar collagen, fibronectin, TNC and ACAN. Cleaves triple helical collagens, including type I, type II and type III collagen, but has the highest activity with soluble type II collagen. Can also degrade collagen type IV, type XIV and type X. May also function by activating or degrading key regulatory proteins, such as TGFB1 and CCN2. Plays a role in wound healing, tissue remodeling, cartilage degradation, bone development, bone mineralization and ossification. [PMID: 10947989, PMID: 12149192]</w:t>
      </w:r>
    </w:p>
    <w:p>
      <w:pPr>
        <w:numPr>
          <w:ilvl w:val="0"/>
          <w:numId w:val="1004"/>
        </w:numPr>
        <w:pStyle w:val="Compact"/>
      </w:pPr>
      <w:r>
        <w:rPr>
          <w:bCs/>
          <w:b/>
        </w:rPr>
        <w:t xml:space="preserve">ACKR1</w:t>
      </w:r>
      <w:r>
        <w:t xml:space="preserve"> </w:t>
      </w:r>
      <w:r>
        <w:t xml:space="preserve">Atypical chemokine receptor 1;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Has a promiscuous chemokine- binding profile, interacting with inflammatory chemokines of both the CXC and the CC subfamilies but not with homeostatic chemokines. [PMID: 13679391]</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4"/>
        </w:numPr>
        <w:pStyle w:val="Compact"/>
      </w:pPr>
      <w:r>
        <w:rPr>
          <w:bCs/>
          <w:b/>
        </w:rPr>
        <w:t xml:space="preserve">TNFAIP6</w:t>
      </w:r>
      <w:r>
        <w:t xml:space="preserve"> </w:t>
      </w:r>
      <w:r>
        <w:t xml:space="preserve">Tumor necrosis factor-inducible gene 6 protein; Possibly involved in cell-cell and cell-matrix interactions during inflammation and tumorigenesis. [PMID: 27044744]</w:t>
      </w:r>
    </w:p>
    <w:p>
      <w:pPr>
        <w:numPr>
          <w:ilvl w:val="0"/>
          <w:numId w:val="1004"/>
        </w:numPr>
        <w:pStyle w:val="Compact"/>
      </w:pPr>
      <w:r>
        <w:rPr>
          <w:bCs/>
          <w:b/>
        </w:rPr>
        <w:t xml:space="preserve">TLE5</w:t>
      </w:r>
      <w:r>
        <w:t xml:space="preserve"> </w:t>
      </w:r>
      <w:r>
        <w:t xml:space="preserve">TLE family member 5; Transcriptional corepressor. Acts as dominant repressor towards other family members. Inhibits NF-kappa-B-regulated gene expression. May be required for the initiation and maintenance of the differentiated state. Essential for the transcriptional repressor activity of SIX3 during retina and lens development. Belongs to the WD repeat Groucho/TLE family. [PMID: 16169070]</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33179750]</w:t>
      </w:r>
    </w:p>
    <w:p>
      <w:pPr>
        <w:numPr>
          <w:ilvl w:val="0"/>
          <w:numId w:val="1004"/>
        </w:numPr>
        <w:pStyle w:val="Compact"/>
      </w:pPr>
      <w:r>
        <w:rPr>
          <w:bCs/>
          <w:b/>
        </w:rPr>
        <w:t xml:space="preserve">FEZ1</w:t>
      </w:r>
      <w:r>
        <w:t xml:space="preserve"> </w:t>
      </w:r>
      <w:r>
        <w:t xml:space="preserve">Fasciculation and elongation protein zeta-1; May be involved in axonal outgrowth as component of the network of molecules that regulate cellular morphology and axon guidance machinery. Able to restore partial locomotion and axonal fasciculation to C.elegans unc-76 mutants in germline transformation experiments. May participate in the transport of mitochondria and other cargos along microtubules; Belongs to the zygin family. [PMID: 16169070]</w:t>
      </w:r>
    </w:p>
    <w:p>
      <w:pPr>
        <w:numPr>
          <w:ilvl w:val="0"/>
          <w:numId w:val="1004"/>
        </w:numPr>
        <w:pStyle w:val="Compact"/>
      </w:pPr>
      <w:r>
        <w:rPr>
          <w:bCs/>
          <w:b/>
        </w:rPr>
        <w:t xml:space="preserve">MMP12</w:t>
      </w:r>
      <w:r>
        <w:t xml:space="preserve"> </w:t>
      </w:r>
      <w:r>
        <w:t xml:space="preserve">Macrophage metalloelastase; May be involved in tissue injury and remodeling. Has significant elastolytic activity. Can accept large and small amino acids at the P1’ site, but has a preference for leucine. Aromatic or hydrophobic residues are preferred at the P1 site, with small hydrophobic residues (preferably alanine) occupying P3; Belongs to the peptidase M10A family. [PMID: 18660381]</w:t>
      </w:r>
    </w:p>
    <w:p>
      <w:pPr>
        <w:numPr>
          <w:ilvl w:val="0"/>
          <w:numId w:val="1004"/>
        </w:numPr>
        <w:pStyle w:val="Compact"/>
      </w:pPr>
      <w:r>
        <w:rPr>
          <w:bCs/>
          <w:b/>
        </w:rPr>
        <w:t xml:space="preserve">ELAVL1</w:t>
      </w:r>
      <w:r>
        <w:t xml:space="preserve"> </w:t>
      </w:r>
      <w:r>
        <w:t xml:space="preserve">ELAV-like protein 1; RNA-binding protein that binds to the 3’-UTR region of mRNAs and increases their stability. Involved in embryonic stem cells (ESCs) differentiation: preferentially binds mRNAs that are not methylated by N6-methyladenosine (m6A), stabilizing them, promoting ESCs differentiation (By similarity). Binds to poly-U elements and AU-rich elements (AREs) in the 3’-UTR of target mRNAs. Binds avidly to the AU-rich element in FOS and IL3/interleukin-3 mRNAs. [PMID: 19322201]</w:t>
      </w:r>
    </w:p>
    <w:p>
      <w:pPr>
        <w:numPr>
          <w:ilvl w:val="0"/>
          <w:numId w:val="1004"/>
        </w:numPr>
        <w:pStyle w:val="Compact"/>
      </w:pPr>
      <w:r>
        <w:rPr>
          <w:bCs/>
          <w:b/>
        </w:rPr>
        <w:t xml:space="preserve">CXCR3</w:t>
      </w:r>
      <w:r>
        <w:t xml:space="preserve"> </w:t>
      </w:r>
      <w:r>
        <w:t xml:space="preserve">C-X-C chemokine receptor type 3; [Isoform 1]: Receptor for the C-X-C chemokine CXCL9, CXCL10 and CXCL11 and mediates the proliferation, survival and angiogenic activity of human mesangial cells (HMC) through a heterotrimeric G- protein signaling pathway. Binds to CCL21. Probably promotes cell chemotaxis response. [Isoform 3]: Mediates the activity of CXCL11. [PMID: 9660793]</w:t>
      </w:r>
    </w:p>
    <w:p>
      <w:pPr>
        <w:numPr>
          <w:ilvl w:val="0"/>
          <w:numId w:val="1004"/>
        </w:numPr>
        <w:pStyle w:val="Compact"/>
      </w:pPr>
      <w:r>
        <w:rPr>
          <w:bCs/>
          <w:b/>
        </w:rPr>
        <w:t xml:space="preserve">CXCL6</w:t>
      </w:r>
      <w:r>
        <w:t xml:space="preserve"> </w:t>
      </w:r>
      <w:r>
        <w:t xml:space="preserve">Small-inducible cytokine B6, N-processed variant 1; Chemotactic for neutrophil granulocytes. Signals through binding and activation of its receptors (CXCR1 and CXCR2). In addition to its chemotactic and angiogenic properties, it has strong antibacterial activity against Gram-positive and Gram-negative bacteria (90-fold-higher when compared to CXCL5 and CXCL7). [PMID: 28381538]</w:t>
      </w:r>
    </w:p>
    <w:p>
      <w:pPr>
        <w:numPr>
          <w:ilvl w:val="0"/>
          <w:numId w:val="1004"/>
        </w:numPr>
        <w:pStyle w:val="Compact"/>
      </w:pPr>
      <w:r>
        <w:rPr>
          <w:bCs/>
          <w:b/>
        </w:rPr>
        <w:t xml:space="preserve">CCR5</w:t>
      </w:r>
      <w:r>
        <w:t xml:space="preserve"> </w:t>
      </w:r>
      <w:r>
        <w:t xml:space="preserve">C-C chemokine receptor type 5; Receptor for a number of inflammatory CC-chemokines including CCL3/MIP-1-alpha, CCL4/MIP-1-beta and RANTES and subsequently transduces a signal by increasing the intracellular calcium ion level. May play a role in the control of granulocytic lineage proliferation or differentiation. [PMID: 10477718]</w:t>
      </w:r>
    </w:p>
    <w:p>
      <w:pPr>
        <w:numPr>
          <w:ilvl w:val="0"/>
          <w:numId w:val="1004"/>
        </w:numPr>
        <w:pStyle w:val="Compact"/>
      </w:pPr>
      <w:r>
        <w:rPr>
          <w:bCs/>
          <w:b/>
        </w:rPr>
        <w:t xml:space="preserve">CCR10</w:t>
      </w:r>
      <w:r>
        <w:t xml:space="preserve"> </w:t>
      </w:r>
      <w:r>
        <w:t xml:space="preserve">C-C chemokine receptor type 10; Receptor for chemokines SCYA27 and SCYA28. Subsequently transduces a signal by increasing the intracellular calcium ions level and stimulates chemotaxis in a pre-B cell line; Belongs to the G-protein coupled receptor 1 family. [PMID: 9364936]</w:t>
      </w:r>
    </w:p>
    <w:p>
      <w:pPr>
        <w:numPr>
          <w:ilvl w:val="0"/>
          <w:numId w:val="1004"/>
        </w:numPr>
        <w:pStyle w:val="Compact"/>
      </w:pPr>
      <w:r>
        <w:rPr>
          <w:bCs/>
          <w:b/>
        </w:rPr>
        <w:t xml:space="preserve">ACKR4</w:t>
      </w:r>
      <w:r>
        <w:t xml:space="preserve"> </w:t>
      </w:r>
      <w:r>
        <w:t xml:space="preserve">Atypical chemokine receptor 4;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Acts as a receptor for chemokines CCL2, CCL8, CCL13, CCL19, CCL21 and CCL25. [PMID: 10734104]</w:t>
      </w:r>
    </w:p>
    <w:p>
      <w:pPr>
        <w:numPr>
          <w:ilvl w:val="0"/>
          <w:numId w:val="1004"/>
        </w:numPr>
        <w:pStyle w:val="Compact"/>
      </w:pPr>
      <w:r>
        <w:rPr>
          <w:bCs/>
          <w:b/>
        </w:rPr>
        <w:t xml:space="preserve">XCL2</w:t>
      </w:r>
      <w:r>
        <w:t xml:space="preserve"> </w:t>
      </w:r>
      <w:r>
        <w:t xml:space="preserve">Cytokine SCM-1 beta; Chemotactic activity for lymphocytes but not for monocytes or neutrophils. [PMID: 28381538]</w:t>
      </w:r>
    </w:p>
    <w:bookmarkEnd w:id="24"/>
    <w:bookmarkStart w:id="28" w:name="interactions-with-text-mining-support"/>
    <w:p>
      <w:pPr>
        <w:pStyle w:val="Heading2"/>
      </w:pPr>
      <w:r>
        <w:t xml:space="preserve">Interactions with text mining support</w:t>
      </w:r>
    </w:p>
    <w:p>
      <w:pPr>
        <w:numPr>
          <w:ilvl w:val="0"/>
          <w:numId w:val="1005"/>
        </w:numPr>
        <w:pStyle w:val="Compact"/>
      </w:pPr>
      <w:r>
        <w:rPr>
          <w:bCs/>
          <w:b/>
        </w:rPr>
        <w:t xml:space="preserve">CXCL8</w:t>
      </w:r>
      <w:r>
        <w:t xml:space="preserve"> </w:t>
      </w:r>
      <w:r>
        <w:t xml:space="preserve">Interleukin-8; IL-8 is a chemotactic factor that attracts neutrophils, basophils, and T-cells, but not monocytes. It is also involved in neutrophil activation. It is released from several cell types in response to an inflammatory stimulus. IL-8(6-77) has a 5-10-fold higher activity on neutrophil activation, IL-8(5-77) has increased activity on neutrophil activation and IL-8(7-77) has a higher affinity to receptors CXCR1 and CXCR2 as compared to IL-8(1-77), respectively. [</w:t>
      </w:r>
      <w:hyperlink r:id="rId25">
        <w:r>
          <w:rPr>
            <w:rStyle w:val="Hyperlink"/>
          </w:rPr>
          <w:t xml:space="preserve">https://string-db.org/newstring_cgi/show_edge_details.pl?identifiers=9606.ENSP00000367832 9606.ENSP00000306512</w:t>
        </w:r>
      </w:hyperlink>
      <w:r>
        <w:t xml:space="preserve">]</w:t>
      </w:r>
    </w:p>
    <w:p>
      <w:pPr>
        <w:numPr>
          <w:ilvl w:val="0"/>
          <w:numId w:val="1005"/>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w:t>
      </w:r>
      <w:hyperlink r:id="rId26">
        <w:r>
          <w:rPr>
            <w:rStyle w:val="Hyperlink"/>
          </w:rPr>
          <w:t xml:space="preserve">https://string-db.org/newstring_cgi/show_edge_details.pl?identifiers=9606.ENSP00000367832 9606.ENSP00000319635</w:t>
        </w:r>
      </w:hyperlink>
      <w:r>
        <w:t xml:space="preserve">]</w:t>
      </w:r>
    </w:p>
    <w:p>
      <w:pPr>
        <w:numPr>
          <w:ilvl w:val="0"/>
          <w:numId w:val="1005"/>
        </w:numPr>
        <w:pStyle w:val="Compact"/>
      </w:pPr>
      <w:r>
        <w:rPr>
          <w:bCs/>
          <w:b/>
        </w:rPr>
        <w:t xml:space="preserve">CX3CR1</w:t>
      </w:r>
      <w:r>
        <w:t xml:space="preserve"> </w:t>
      </w:r>
      <w:r>
        <w:t xml:space="preserve">CX3C chemokine receptor 1; Receptor for the CX3C chemokine fractalkine (CX3CL1); binds to CX3CL1 and mediates both its adhesive and migratory functions. Acts as coreceptor with CD4 for HIV- 1 virus envelope protein (in vitro). Isoform 2 and isoform 3 seem to be more potent HIV-1 coreceptors than isoform 1. [</w:t>
      </w:r>
      <w:hyperlink r:id="rId27">
        <w:r>
          <w:rPr>
            <w:rStyle w:val="Hyperlink"/>
          </w:rPr>
          <w:t xml:space="preserve">https://string-db.org/newstring_cgi/show_edge_details.pl?identifiers=9606.ENSP00000367832 9606.ENSP00000351059</w:t>
        </w:r>
      </w:hyperlink>
      <w:r>
        <w:t xml:space="preserve">]</w:t>
      </w:r>
    </w:p>
    <w:bookmarkEnd w:id="28"/>
    <w:bookmarkEnd w:id="29"/>
    <w:bookmarkStart w:id="5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0">
        <w:r>
          <w:rPr>
            <w:rStyle w:val="Hyperlink"/>
          </w:rPr>
          <w:t xml:space="preserve">https://www.genecards.org/cgi-bin/carddisp.pl?gene=CCL7</w:t>
        </w:r>
      </w:hyperlink>
    </w:p>
    <w:p>
      <w:pPr>
        <w:numPr>
          <w:ilvl w:val="0"/>
          <w:numId w:val="1006"/>
        </w:numPr>
        <w:pStyle w:val="Compact"/>
      </w:pPr>
      <w:r>
        <w:t xml:space="preserve">Harmonizome (human):</w:t>
      </w:r>
      <w:r>
        <w:t xml:space="preserve"> </w:t>
      </w:r>
      <w:hyperlink r:id="rId31">
        <w:r>
          <w:rPr>
            <w:rStyle w:val="Hyperlink"/>
          </w:rPr>
          <w:t xml:space="preserve">https://maayanlab.cloud/Harmonizome/gene/CCL7</w:t>
        </w:r>
      </w:hyperlink>
    </w:p>
    <w:p>
      <w:pPr>
        <w:numPr>
          <w:ilvl w:val="0"/>
          <w:numId w:val="1006"/>
        </w:numPr>
        <w:pStyle w:val="Compact"/>
      </w:pPr>
      <w:r>
        <w:t xml:space="preserve">NCBI (human):</w:t>
      </w:r>
      <w:r>
        <w:t xml:space="preserve"> </w:t>
      </w:r>
      <w:hyperlink r:id="rId32">
        <w:r>
          <w:rPr>
            <w:rStyle w:val="Hyperlink"/>
          </w:rPr>
          <w:t xml:space="preserve">https://www.ncbi.nlm.nih.gov/gene/6354</w:t>
        </w:r>
      </w:hyperlink>
    </w:p>
    <w:p>
      <w:pPr>
        <w:numPr>
          <w:ilvl w:val="0"/>
          <w:numId w:val="1006"/>
        </w:numPr>
        <w:pStyle w:val="Compact"/>
      </w:pPr>
      <w:r>
        <w:t xml:space="preserve">NCBI (rat):</w:t>
      </w:r>
      <w:r>
        <w:t xml:space="preserve"> </w:t>
      </w:r>
      <w:hyperlink r:id="rId33">
        <w:r>
          <w:rPr>
            <w:rStyle w:val="Hyperlink"/>
          </w:rPr>
          <w:t xml:space="preserve">https://www.ncbi.nlm.nih.gov/gene/287561</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https://useast.ensembl.org/Homo_sapiens/Gene/Summary?g=ENSG00000108688</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https://useast.ensembl.org/Rattus_norvegicus/Gene/Summary?g=ENSRNOG00000000239</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https://rgd.mcw.edu/rgdweb/report/gene/main.html?id=1359152</w:t>
        </w:r>
      </w:hyperlink>
    </w:p>
    <w:p>
      <w:pPr>
        <w:numPr>
          <w:ilvl w:val="0"/>
          <w:numId w:val="1006"/>
        </w:numPr>
        <w:pStyle w:val="Compact"/>
      </w:pPr>
      <w:r>
        <w:t xml:space="preserve">Uniprot (human):</w:t>
      </w:r>
      <w:r>
        <w:t xml:space="preserve"> </w:t>
      </w:r>
      <w:hyperlink r:id="rId37">
        <w:r>
          <w:rPr>
            <w:rStyle w:val="Hyperlink"/>
          </w:rPr>
          <w:t xml:space="preserve">https://www.uniprot.org/uniprotkb/P80098</w:t>
        </w:r>
      </w:hyperlink>
    </w:p>
    <w:p>
      <w:pPr>
        <w:numPr>
          <w:ilvl w:val="0"/>
          <w:numId w:val="1006"/>
        </w:numPr>
        <w:pStyle w:val="Compact"/>
      </w:pPr>
      <w:r>
        <w:t xml:space="preserve">Uniprot (rat):</w:t>
      </w:r>
      <w:r>
        <w:t xml:space="preserve"> </w:t>
      </w:r>
      <w:hyperlink r:id="rId38">
        <w:r>
          <w:rPr>
            <w:rStyle w:val="Hyperlink"/>
          </w:rPr>
          <w:t xml:space="preserve">https://www.uniprot.org/uniprotkb/Q9QXY8</w:t>
        </w:r>
      </w:hyperlink>
    </w:p>
    <w:p>
      <w:pPr>
        <w:numPr>
          <w:ilvl w:val="0"/>
          <w:numId w:val="1006"/>
        </w:numPr>
        <w:pStyle w:val="Compact"/>
      </w:pPr>
      <w:r>
        <w:t xml:space="preserve">Wikigenes (human):</w:t>
      </w:r>
      <w:r>
        <w:t xml:space="preserve"> </w:t>
      </w:r>
      <w:hyperlink r:id="rId39">
        <w:r>
          <w:rPr>
            <w:rStyle w:val="Hyperlink"/>
          </w:rPr>
          <w:t xml:space="preserve">https://www.wikigenes.org/e/gene/e/6354.html</w:t>
        </w:r>
      </w:hyperlink>
    </w:p>
    <w:p>
      <w:pPr>
        <w:numPr>
          <w:ilvl w:val="0"/>
          <w:numId w:val="1006"/>
        </w:numPr>
        <w:pStyle w:val="Compact"/>
      </w:pPr>
      <w:r>
        <w:t xml:space="preserve">Wikigenes (rat):</w:t>
      </w:r>
      <w:r>
        <w:t xml:space="preserve"> </w:t>
      </w:r>
      <w:hyperlink r:id="rId40">
        <w:r>
          <w:rPr>
            <w:rStyle w:val="Hyperlink"/>
          </w:rPr>
          <w:t xml:space="preserve">https://www.wikigenes.org/e/gene/e/287561.html</w:t>
        </w:r>
      </w:hyperlink>
    </w:p>
    <w:p>
      <w:pPr>
        <w:numPr>
          <w:ilvl w:val="0"/>
          <w:numId w:val="1006"/>
        </w:numPr>
        <w:pStyle w:val="Compact"/>
      </w:pPr>
      <w:r>
        <w:t xml:space="preserve">Alphafold (human):</w:t>
      </w:r>
      <w:r>
        <w:t xml:space="preserve"> </w:t>
      </w:r>
      <w:hyperlink r:id="rId41">
        <w:r>
          <w:rPr>
            <w:rStyle w:val="Hyperlink"/>
          </w:rPr>
          <w:t xml:space="preserve">https://alphafold.ebi.ac.uk/entry/P80098</w:t>
        </w:r>
      </w:hyperlink>
    </w:p>
    <w:p>
      <w:pPr>
        <w:numPr>
          <w:ilvl w:val="0"/>
          <w:numId w:val="1006"/>
        </w:numPr>
        <w:pStyle w:val="Compact"/>
      </w:pPr>
      <w:r>
        <w:t xml:space="preserve">Alphafold (rat):</w:t>
      </w:r>
      <w:r>
        <w:t xml:space="preserve"> </w:t>
      </w:r>
      <w:hyperlink r:id="rId42">
        <w:r>
          <w:rPr>
            <w:rStyle w:val="Hyperlink"/>
          </w:rPr>
          <w:t xml:space="preserve">https://alphafold.ebi.ac.uk/entry/Q9QXY8</w:t>
        </w:r>
      </w:hyperlink>
    </w:p>
    <w:p>
      <w:pPr>
        <w:numPr>
          <w:ilvl w:val="0"/>
          <w:numId w:val="1006"/>
        </w:numPr>
        <w:pStyle w:val="Compact"/>
      </w:pPr>
      <w:r>
        <w:t xml:space="preserve">PDB (human):</w:t>
      </w:r>
      <w:r>
        <w:t xml:space="preserve"> </w:t>
      </w:r>
      <w:hyperlink r:id="rId43">
        <w:r>
          <w:rPr>
            <w:rStyle w:val="Hyperlink"/>
          </w:rPr>
          <w:t xml:space="preserve">https://www.rcsb.org/structure/1BO0</w:t>
        </w:r>
      </w:hyperlink>
      <w:r>
        <w:t xml:space="preserve">,</w:t>
      </w:r>
      <w:r>
        <w:t xml:space="preserve"> </w:t>
      </w:r>
      <w:hyperlink r:id="rId44">
        <w:r>
          <w:rPr>
            <w:rStyle w:val="Hyperlink"/>
          </w:rPr>
          <w:t xml:space="preserve">https://www.rcsb.org/structure/1NCV</w:t>
        </w:r>
      </w:hyperlink>
      <w:r>
        <w:t xml:space="preserve">,</w:t>
      </w:r>
      <w:r>
        <w:t xml:space="preserve"> </w:t>
      </w:r>
      <w:hyperlink r:id="rId45">
        <w:r>
          <w:rPr>
            <w:rStyle w:val="Hyperlink"/>
          </w:rPr>
          <w:t xml:space="preserve">https://www.rcsb.org/structure/4ZKC</w:t>
        </w:r>
      </w:hyperlink>
      <w:r>
        <w:t xml:space="preserve">,</w:t>
      </w:r>
      <w:r>
        <w:t xml:space="preserve"> </w:t>
      </w:r>
      <w:hyperlink r:id="rId46">
        <w:r>
          <w:rPr>
            <w:rStyle w:val="Hyperlink"/>
          </w:rPr>
          <w:t xml:space="preserve">https://www.rcsb.org/structure/7S58</w:t>
        </w:r>
      </w:hyperlink>
      <w:r>
        <w:t xml:space="preserve">,</w:t>
      </w:r>
      <w:r>
        <w:t xml:space="preserve"> </w:t>
      </w:r>
      <w:hyperlink r:id="rId47">
        <w:r>
          <w:rPr>
            <w:rStyle w:val="Hyperlink"/>
          </w:rPr>
          <w:t xml:space="preserve">https://www.rcsb.org/structure/7S59</w:t>
        </w:r>
      </w:hyperlink>
      <w:r>
        <w:t xml:space="preserve">,</w:t>
      </w:r>
      <w:r>
        <w:t xml:space="preserve"> </w:t>
      </w:r>
      <w:hyperlink r:id="rId48">
        <w:r>
          <w:rPr>
            <w:rStyle w:val="Hyperlink"/>
          </w:rPr>
          <w:t xml:space="preserve">https://www.rcsb.org/structure/7SCU</w:t>
        </w:r>
      </w:hyperlink>
      <w:r>
        <w:t xml:space="preserve">,</w:t>
      </w:r>
      <w:r>
        <w:t xml:space="preserve"> </w:t>
      </w:r>
      <w:hyperlink r:id="rId49">
        <w:r>
          <w:rPr>
            <w:rStyle w:val="Hyperlink"/>
          </w:rPr>
          <w:t xml:space="preserve">https://www.rcsb.org/structure/8FJ3</w:t>
        </w:r>
      </w:hyperlink>
      <w:r>
        <w:t xml:space="preserve">,</w:t>
      </w:r>
      <w:r>
        <w:t xml:space="preserve"> </w:t>
      </w:r>
      <w:hyperlink r:id="rId50">
        <w:r>
          <w:rPr>
            <w:rStyle w:val="Hyperlink"/>
          </w:rPr>
          <w:t xml:space="preserve">https://www.rcsb.org/structure/8JPS</w:t>
        </w:r>
      </w:hyperlink>
    </w:p>
    <w:p>
      <w:pPr>
        <w:numPr>
          <w:ilvl w:val="0"/>
          <w:numId w:val="1006"/>
        </w:numPr>
        <w:pStyle w:val="Compact"/>
      </w:pPr>
      <w:r>
        <w:t xml:space="preserve">PDB (mouse): none</w:t>
      </w:r>
    </w:p>
    <w:p>
      <w:pPr>
        <w:numPr>
          <w:ilvl w:val="0"/>
          <w:numId w:val="1006"/>
        </w:numPr>
        <w:pStyle w:val="Compact"/>
      </w:pPr>
      <w:r>
        <w:t xml:space="preserve">PDB (rat): none</w:t>
      </w:r>
    </w:p>
    <w:bookmarkEnd w:id="51"/>
    <w:bookmarkStart w:id="60" w:name="X7887dc63a354b4d974b09bbc1761dfdcf7e455e"/>
    <w:p>
      <w:pPr>
        <w:pStyle w:val="Heading1"/>
      </w:pPr>
      <w:r>
        <w:t xml:space="preserve">6. GO Terms, MSigDB Signatures, Pathways Containing Gene with Descriptions of Gene Sets</w:t>
      </w:r>
    </w:p>
    <w:bookmarkStart w:id="53" w:name="pathways"/>
    <w:p>
      <w:pPr>
        <w:pStyle w:val="Heading2"/>
      </w:pPr>
      <w:r>
        <w:t xml:space="preserve">Pathways:</w:t>
      </w:r>
    </w:p>
    <w:p>
      <w:pPr>
        <w:pStyle w:val="FirstParagraph"/>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w:t>
      </w:r>
      <w:r>
        <w:t xml:space="preserve"> </w:t>
      </w:r>
      <w:hyperlink r:id="rId52">
        <w:r>
          <w:rPr>
            <w:rStyle w:val="Hyperlink"/>
          </w:rPr>
          <w:t xml:space="preserve">[https://reactome.org/PathwayBrowser/#/R-HSA-380108]</w:t>
        </w:r>
      </w:hyperlink>
    </w:p>
    <w:bookmarkEnd w:id="53"/>
    <w:bookmarkStart w:id="54" w:name="go-terms"/>
    <w:p>
      <w:pPr>
        <w:pStyle w:val="Heading2"/>
      </w:pPr>
      <w:r>
        <w:t xml:space="preserve">GO terms:</w:t>
      </w:r>
    </w:p>
    <w:p>
      <w:pPr>
        <w:pStyle w:val="FirstParagraph"/>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cellular response to ethanol</w:t>
      </w:r>
      <w:r>
        <w:t xml:space="preserve"> </w:t>
      </w:r>
      <w:r>
        <w:t xml:space="preserve">[Any process that results in a change in state or activity of a cell (in terms of movement, secretion, enzyme production, gene expression, etc.) as a result of an ethanol stimulus. GO:0071361]</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cytoskeleton organization</w:t>
      </w:r>
      <w:r>
        <w:t xml:space="preserve"> </w:t>
      </w:r>
      <w:r>
        <w:t xml:space="preserve">[A process that is carried out at the cellular level which results in the assembly, arrangement of constituent parts, or disassembly of cytoskeletal structures. GO:0007010]</w:t>
      </w:r>
    </w:p>
    <w:p>
      <w:pPr>
        <w:pStyle w:val="BodyText"/>
      </w:pPr>
      <w:r>
        <w:rPr>
          <w:bCs/>
          <w:b/>
        </w:rPr>
        <w:t xml:space="preserve">eosinophil chemotaxis</w:t>
      </w:r>
      <w:r>
        <w:t xml:space="preserve"> </w:t>
      </w:r>
      <w:r>
        <w:t xml:space="preserve">[The movement of an eosinophil in response to an external stimulus. GO:0048245]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natural killer cell chemotaxis</w:t>
      </w:r>
      <w:r>
        <w:t xml:space="preserve"> </w:t>
      </w:r>
      <w:r>
        <w:t xml:space="preserve">[Any process that activates or increases the frequency, rate or extent of natural killer cell chemotaxis. GO:2000503]</w:t>
      </w:r>
    </w:p>
    <w:p>
      <w:pPr>
        <w:pStyle w:val="BodyText"/>
      </w:pPr>
      <w:r>
        <w:rPr>
          <w:bCs/>
          <w:b/>
        </w:rPr>
        <w:t xml:space="preserve">regulation of cell shape</w:t>
      </w:r>
      <w:r>
        <w:t xml:space="preserve"> </w:t>
      </w:r>
      <w:r>
        <w:t xml:space="preserve">[Any process that modulates the surface configuration of a cell. GO:0008360]</w:t>
      </w:r>
    </w:p>
    <w:p>
      <w:pPr>
        <w:pStyle w:val="BodyText"/>
      </w:pPr>
      <w:r>
        <w:rPr>
          <w:bCs/>
          <w:b/>
        </w:rPr>
        <w:t xml:space="preserve">response to gamma radiation</w:t>
      </w:r>
      <w:r>
        <w:t xml:space="preserve"> </w:t>
      </w:r>
      <w:r>
        <w:t xml:space="preserve">[Any process that results in a change in state or activity of a cell or an organism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GO:0010332]</w:t>
      </w:r>
    </w:p>
    <w:bookmarkEnd w:id="54"/>
    <w:bookmarkStart w:id="59" w:name="msigdb-signatures"/>
    <w:p>
      <w:pPr>
        <w:pStyle w:val="Heading2"/>
      </w:pPr>
      <w:r>
        <w:t xml:space="preserve">MSigDB Signatures:</w:t>
      </w:r>
    </w:p>
    <w:p>
      <w:pPr>
        <w:pStyle w:val="FirstParagraph"/>
      </w:pPr>
      <w:r>
        <w:rPr>
          <w:bCs/>
          <w:b/>
        </w:rPr>
        <w:t xml:space="preserve">REACTOME_SIGNALING_BY_GPCR</w:t>
      </w:r>
      <w:r>
        <w:t xml:space="preserve">: Signaling by GPCR</w:t>
      </w:r>
      <w:r>
        <w:t xml:space="preserve"> </w:t>
      </w:r>
      <w:hyperlink r:id="rId55">
        <w:r>
          <w:rPr>
            <w:rStyle w:val="Hyperlink"/>
          </w:rPr>
          <w:t xml:space="preserve">[https://www.gsea-msigdb.org/gsea/msigdb/human/geneset/REACTOME_SIGNALING_BY_GPCR.html]</w:t>
        </w:r>
      </w:hyperlink>
    </w:p>
    <w:p>
      <w:pPr>
        <w:pStyle w:val="BodyText"/>
      </w:pPr>
      <w:r>
        <w:rPr>
          <w:bCs/>
          <w:b/>
        </w:rPr>
        <w:t xml:space="preserve">KEGG_NOD_LIKE_RECEPTOR_SIGNALING_PATHWAY</w:t>
      </w:r>
      <w:r>
        <w:t xml:space="preserve">: NOD-like receptor signaling pathway</w:t>
      </w:r>
      <w:r>
        <w:t xml:space="preserve"> </w:t>
      </w:r>
      <w:hyperlink r:id="rId56">
        <w:r>
          <w:rPr>
            <w:rStyle w:val="Hyperlink"/>
          </w:rPr>
          <w:t xml:space="preserve">[https://www.gsea-msigdb.org/gsea/msigdb/human/geneset/KEGG_NOD_LIKE_RECEPTOR_SIGNALING_PATHWAY.html]</w:t>
        </w:r>
      </w:hyperlink>
    </w:p>
    <w:p>
      <w:pPr>
        <w:pStyle w:val="BodyText"/>
      </w:pPr>
      <w:r>
        <w:rPr>
          <w:bCs/>
          <w:b/>
        </w:rPr>
        <w:t xml:space="preserve">REACTOME_CLASS_A_1_RHODOPSIN_LIKE_RECEPTORS</w:t>
      </w:r>
      <w:r>
        <w:t xml:space="preserve">: Class A/1 (Rhodopsin-like receptors)</w:t>
      </w:r>
      <w:r>
        <w:t xml:space="preserve"> </w:t>
      </w:r>
      <w:hyperlink r:id="rId57">
        <w:r>
          <w:rPr>
            <w:rStyle w:val="Hyperlink"/>
          </w:rPr>
          <w:t xml:space="preserve">[https://www.gsea-msigdb.org/gsea/msigdb/human/geneset/REACTOME_CLASS_A_1_RHODOPSIN_LIKE_RECEPTORS.html]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8">
        <w:r>
          <w:rPr>
            <w:rStyle w:val="Hyperlink"/>
          </w:rPr>
          <w:t xml:space="preserve">[https://www.gsea-msigdb.org/gsea/msigdb/human/geneset/NABA_MATRISOME_ASSOCIATED.html]</w:t>
        </w:r>
      </w:hyperlink>
    </w:p>
    <w:bookmarkEnd w:id="59"/>
    <w:bookmarkEnd w:id="60"/>
    <w:bookmarkStart w:id="61" w:name="gene-descriptions"/>
    <w:p>
      <w:pPr>
        <w:pStyle w:val="Heading1"/>
      </w:pPr>
      <w:r>
        <w:t xml:space="preserve">7. Gene Descriptions</w:t>
      </w:r>
    </w:p>
    <w:p>
      <w:pPr>
        <w:pStyle w:val="FirstParagraph"/>
      </w:pPr>
      <w:r>
        <w:rPr>
          <w:bCs/>
          <w:b/>
        </w:rPr>
        <w:t xml:space="preserve">NCBI Gene Summary</w:t>
      </w:r>
      <w:r>
        <w:t xml:space="preserve">: This gene encodes monocyte chemotactic protein 3, a secreted chemokine which attracts macrophages during inflammation and metastasis. It is a member of the C-C subfamily of chemokines which are characterized by having two adjacent cysteine residues. The protein is an in vivo substrate of matrix metalloproteinase 2, an enzyme which degrades components of the extracellular matrix. This gene is part of a cluster of C-C chemokine family members on chromosome 17q. [provided by RefSeq, Jul 2008]</w:t>
      </w:r>
    </w:p>
    <w:p>
      <w:pPr>
        <w:pStyle w:val="BodyText"/>
      </w:pPr>
      <w:r>
        <w:rPr>
          <w:bCs/>
          <w:b/>
        </w:rPr>
        <w:t xml:space="preserve">GeneCards Summary</w:t>
      </w:r>
      <w:r>
        <w:t xml:space="preserve">: CCL7 (C-C Motif Chemokine Ligand 7) is a Protein Coding gene. Diseases associated with CCL7 include Nephrogenic Systemic Fibrosis and Status Asthmaticus. Among its related pathways are MIF Mediated Glucocorticoid Regulation and TGF-Beta Pathway. Gene Ontology (GO) annotations related to this gene include heparin binding and CCR1 chemokine receptor binding. An important paralog of this gene is CCL2.</w:t>
      </w:r>
    </w:p>
    <w:p>
      <w:pPr>
        <w:pStyle w:val="BodyText"/>
      </w:pPr>
      <w:r>
        <w:rPr>
          <w:bCs/>
          <w:b/>
        </w:rPr>
        <w:t xml:space="preserve">UniProtKB/Swiss-Prot Summary</w:t>
      </w:r>
      <w:r>
        <w:t xml:space="preserve">: Chemotactic factor that attracts monocytes and eosinophils, but not neutrophils. Augments monocyte anti-tumor activity. Also induces the release of gelatinase B. This protein can bind heparin. Binds to CCR1, CCR2 and CCR3.</w:t>
      </w:r>
    </w:p>
    <w:bookmarkEnd w:id="61"/>
    <w:bookmarkStart w:id="63" w:name="cellular-location-of-gene-product"/>
    <w:p>
      <w:pPr>
        <w:pStyle w:val="Heading1"/>
      </w:pPr>
      <w:r>
        <w:t xml:space="preserve">8. Cellular Location of Gene Product</w:t>
      </w:r>
    </w:p>
    <w:p>
      <w:pPr>
        <w:pStyle w:val="FirstParagraph"/>
      </w:pPr>
      <w:r>
        <w:t xml:space="preserve">Predicted location: Secreted, Membrane (different isoforms) [</w:t>
      </w:r>
      <w:hyperlink r:id="rId62">
        <w:r>
          <w:rPr>
            <w:rStyle w:val="Hyperlink"/>
          </w:rPr>
          <w:t xml:space="preserve">https://www.proteinatlas.org/ENSG00000108688/subcellular</w:t>
        </w:r>
      </w:hyperlink>
      <w:r>
        <w:t xml:space="preserve">]</w:t>
      </w:r>
    </w:p>
    <w:bookmarkEnd w:id="63"/>
    <w:bookmarkStart w:id="65" w:name="mechanistic-information"/>
    <w:p>
      <w:pPr>
        <w:pStyle w:val="Heading1"/>
      </w:pPr>
      <w:r>
        <w:t xml:space="preserve">9. Mechanistic Information</w:t>
      </w:r>
    </w:p>
    <w:p>
      <w:pPr>
        <w:numPr>
          <w:ilvl w:val="0"/>
          <w:numId w:val="1007"/>
        </w:numPr>
        <w:pStyle w:val="Compact"/>
      </w:pPr>
      <w:r>
        <w:t xml:space="preserve">The chemokine (C-C motif) ligand 7 (CCL7) that is highly expressed in the tumor microenvironment of various cancers, including colorectal cancer[PMID: 22614322], breast cancer [PMID: 30850664], oral cancer [PMID: 19937793], renal cancer, and gastric cancer [PMID: 22468089]. Interactions of chemokines and chemokine receptors can recruit immune cell subsets into the tumor microenvironment. These interactions can modulate tumor progression and metastasis. CCL7 can affect cancer immunity and tumorigenesis by describing its regulation and roles in immune cell recruitment and stromal cell biology [PMID: 32060844]. The CCL7-CCR1 signaling plays a dominant role in recruiting early osteoclast precursors (OCPs) to facilitate osteolysis at metastatic site of colorectal cancer [PMID: 35715847]. Crosstalk between CCL7 and CCR3 promotes metastasis of colon cancer cells via epithelial-mesenchymal transition (EMT) and the ERK-JNK signaling pathways [PMID: 27167205].</w:t>
      </w:r>
    </w:p>
    <w:p>
      <w:pPr>
        <w:numPr>
          <w:ilvl w:val="0"/>
          <w:numId w:val="1007"/>
        </w:numPr>
        <w:pStyle w:val="Compact"/>
      </w:pPr>
      <w:r>
        <w:t xml:space="preserve">The chemokine (C-C motif) ligand 7 (CCL7) gene was upregulated in coculture of carcinoma-associated fibroblasts (CAF) with oral squamous cell carcinoma (OSCC) cells. Interleukin-1alpha was an inducer of CCL7 secretion by CAF. CCL7 promotes oral squamous cell carcinoma (OSCC) cell migration through its receptors CCR1 and CCR3 on cancer cells [PMID: 19937793].</w:t>
      </w:r>
    </w:p>
    <w:p>
      <w:pPr>
        <w:numPr>
          <w:ilvl w:val="0"/>
          <w:numId w:val="1007"/>
        </w:numPr>
        <w:pStyle w:val="Compact"/>
      </w:pPr>
      <w:r>
        <w:t xml:space="preserve">CCL7 gene was highly expressed in lung adenocarcinoma (LUAD). Knockdown of CCL7 suppressed the chemotaxis and M2 skewing of macrophages, and it blocked the epithelial-mesenchymal transition (EMT) and mobility of LUAD cells. LINC01094 binds to SPI1 to promote its nuclear translocation, which further activates CCL7 transcription by binding to its promoter, leading to M2 macrophage accumulation and dissemination of tumor cells [PMID: 36118415].</w:t>
      </w:r>
    </w:p>
    <w:p>
      <w:pPr>
        <w:numPr>
          <w:ilvl w:val="0"/>
          <w:numId w:val="1007"/>
        </w:numPr>
        <w:pStyle w:val="Compact"/>
      </w:pPr>
      <w:r>
        <w:t xml:space="preserve">C-C Motif Chemokine Ligand 7 (CCL7) gene expression is significantly increased in nucleus pulposus cells under inflammatory conditions in intervertebral disc degeneration (IDD). The activation of the integrated stress response (ISR), driven by the TLR4/mtROS/dsRNA axis, boosts CCL7 production, leading to macrophage infiltration and proinflammatory polarization, thus exacerbating IDD [PMID: 38316963].</w:t>
      </w:r>
    </w:p>
    <w:p>
      <w:pPr>
        <w:numPr>
          <w:ilvl w:val="0"/>
          <w:numId w:val="1007"/>
        </w:numPr>
        <w:pStyle w:val="Compact"/>
      </w:pPr>
      <w:r>
        <w:t xml:space="preserve">In renal cell carcinoma (RCC), decreased expression of let-7d microRNA is correlated with increased expression of the Ccl7. The C-C subfamily chemokine member CCL7 is direct let-7d target gene. This upregulation of Ccl7 is associated with enhanced tumor cell proliferation, migration, and peripheral blood monocyte (PBMC) recruitment, contributing to RCC progression and metastasis [PMID: 25193015].</w:t>
      </w:r>
    </w:p>
    <w:p>
      <w:pPr>
        <w:numPr>
          <w:ilvl w:val="0"/>
          <w:numId w:val="1007"/>
        </w:numPr>
        <w:pStyle w:val="Compact"/>
      </w:pPr>
      <w:r>
        <w:t xml:space="preserve">In chronic obstructive pulmonary disease (COPD), small sputum macrophages exhibit elevated Ccl7 gene and protein expression compared to healthy donors [PMID: 21327296].</w:t>
      </w:r>
    </w:p>
    <w:p>
      <w:pPr>
        <w:numPr>
          <w:ilvl w:val="0"/>
          <w:numId w:val="1007"/>
        </w:numPr>
        <w:pStyle w:val="Compact"/>
      </w:pPr>
      <w:r>
        <w:t xml:space="preserve">In obese patients, mRNA expression of Ccl7, along with other CC chemokines involved in monocyte chemotaxis, is higher in both subcutaneous (sc) and visceral adipose tissue compared to lean controls [PMID: 18492752].</w:t>
      </w:r>
    </w:p>
    <w:bookmarkStart w:id="64" w:name="summary"/>
    <w:p>
      <w:pPr>
        <w:pStyle w:val="Heading2"/>
      </w:pPr>
      <w:r>
        <w:t xml:space="preserve">Summary</w:t>
      </w:r>
    </w:p>
    <w:p>
      <w:pPr>
        <w:pStyle w:val="FirstParagraph"/>
      </w:pPr>
      <w:r>
        <w:t xml:space="preserve">Ccl7 encodes the chemokine ligand CCL7, also known as monocyte chemotactic protein 3 (MCP-3), which plays a crucial role in attracting monocytes and other immune cells to sites of inflammation [CS: 9]. CCL7 binds to glycosaminoglycans (GAGs), forming chemokine gradients that provide directional signals for migrating immune cells [CS: 9]. By interacting with receptors CCR1, CCR2, and CCR3, CCL7 is involved in the directed migration of leukocytes, which is pivotal for effective immune surveillance and tissue repair following damage [CS: 9]. Additionally, CCL7’s role includes inducing increased intracellular Ca2+ flux, which is crucial for immune cell activation [CS: 8], and promoting the release of gelatinase B, an enzyme that helps in the remodeling of extracellular matrix components, thereby facilitating efficient immune response and tissue recovery [CS: 8].</w:t>
      </w:r>
    </w:p>
    <w:p>
      <w:pPr>
        <w:pStyle w:val="BodyText"/>
      </w:pPr>
      <w:r>
        <w:t xml:space="preserve">In cases of peripheral nerve toxicity or injury, such as chronic constriction injury (CCI), IL-6-mediated epigenetic changes upregulate Ccl7 expression, particularly in spinal astrocytes [CS: 7]. This upregulation leads to enhanced recruitment of immune cells, like macrophages, to the site of injury, which is essential for initiating local inflammatory responses and facilitating tissue repair processes [CS: 7]. However, excessive or prolonged expression of Ccl7 can lead to abnormal immune cell accumulation, contributing to persistent inflammatory responses in the spinal cord [CS: 7]. This chronic neuroinflammation can alter pain pathways, facilitating the development and persistence of neuropathic pain, highlighting the dualistic nature of Ccl7—an essential repair facilitator that can become a source of pathology if not properly regulated [CS: 8].</w:t>
      </w:r>
    </w:p>
    <w:bookmarkEnd w:id="64"/>
    <w:bookmarkEnd w:id="65"/>
    <w:bookmarkStart w:id="66" w:name="upstream-regulators"/>
    <w:p>
      <w:pPr>
        <w:pStyle w:val="Heading1"/>
      </w:pPr>
      <w:r>
        <w:t xml:space="preserve">10. Upstream Regulators</w:t>
      </w:r>
    </w:p>
    <w:p>
      <w:pPr>
        <w:numPr>
          <w:ilvl w:val="0"/>
          <w:numId w:val="1008"/>
        </w:numPr>
        <w:pStyle w:val="Compact"/>
      </w:pPr>
      <w:r>
        <w:t xml:space="preserve">Spi-1 proto-oncogene (SPI1) was confirmed as an upstream factor activating CCL7 transcription, and LINC01094 was found to bind to SPI1 to promote its nuclear translocation in lung adenocarcinoma (LUAD) cells [PMID: 36118415].</w:t>
      </w:r>
    </w:p>
    <w:p>
      <w:pPr>
        <w:numPr>
          <w:ilvl w:val="0"/>
          <w:numId w:val="1008"/>
        </w:numPr>
        <w:pStyle w:val="Compact"/>
      </w:pPr>
      <w:r>
        <w:t xml:space="preserve">Various stimuli including measles virus, phorbol 12-myristate 13-acetate (PMA), and interferon-beta (IFN-beta) were shown to induced MCP-3 mRNA expression [PMID: 9052738].</w:t>
      </w:r>
    </w:p>
    <w:p>
      <w:pPr>
        <w:numPr>
          <w:ilvl w:val="0"/>
          <w:numId w:val="1008"/>
        </w:numPr>
        <w:pStyle w:val="Compact"/>
      </w:pPr>
      <w:r>
        <w:t xml:space="preserve">In diploid fibroblasts, induction of MCP-3 mRNA and protein was observed by combined treatment with IL-1beta and IFN-gamma. In PBMC, IFN-alpha and IFN-beta (but not IFN-gamma), as well as measles virus and double-stranded RNA, were potent inducers of MCP-3, which suggests a role for this chemokine in an early stage of viral infections [PMID: 10064085].</w:t>
      </w:r>
    </w:p>
    <w:p>
      <w:pPr>
        <w:numPr>
          <w:ilvl w:val="0"/>
          <w:numId w:val="1008"/>
        </w:numPr>
        <w:pStyle w:val="Compact"/>
      </w:pPr>
      <w:r>
        <w:t xml:space="preserve">Let-7d suppresses growth, metastasis, and tumor macrophage infiltration in renal cell carcinoma by targeting COL3A1 and CCL7 genes [PMID: 25193015].</w:t>
      </w:r>
    </w:p>
    <w:p>
      <w:pPr>
        <w:numPr>
          <w:ilvl w:val="0"/>
          <w:numId w:val="1008"/>
        </w:numPr>
        <w:pStyle w:val="Compact"/>
      </w:pPr>
      <w:r>
        <w:t xml:space="preserve">KLF15 suppresses tumor growth and metastasis in Triple-Negative Breast Cancer by downregulating CCL2 and CCL7 [PMID: 36347994].</w:t>
      </w:r>
    </w:p>
    <w:bookmarkEnd w:id="66"/>
    <w:bookmarkStart w:id="6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(tissue enriched) [</w:t>
      </w:r>
      <w:hyperlink r:id="rId67">
        <w:r>
          <w:rPr>
            <w:rStyle w:val="Hyperlink"/>
          </w:rPr>
          <w:t xml:space="preserve">https://www.proteinatlas.org/ENSG00000108688/tissue</w:t>
        </w:r>
      </w:hyperlink>
      <w:r>
        <w:t xml:space="preserve">]</w:t>
      </w:r>
    </w:p>
    <w:p>
      <w:pPr>
        <w:pStyle w:val="BodyText"/>
      </w:pPr>
      <w:r>
        <w:rPr>
          <w:bCs/>
          <w:b/>
        </w:rPr>
        <w:t xml:space="preserve">Cell type enhanced</w:t>
      </w:r>
      <w:r>
        <w:t xml:space="preserve">: ductal cells, hofbauer cells, macrophages, mesothelial cells, secretory cells (cell type enhanced) [</w:t>
      </w:r>
      <w:hyperlink r:id="rId68">
        <w:r>
          <w:rPr>
            <w:rStyle w:val="Hyperlink"/>
          </w:rPr>
          <w:t xml:space="preserve">https://www.proteinatlas.org/ENSG00000108688/single+cell+type</w:t>
        </w:r>
      </w:hyperlink>
      <w:r>
        <w:t xml:space="preserve">]</w:t>
      </w:r>
    </w:p>
    <w:bookmarkEnd w:id="69"/>
    <w:bookmarkStart w:id="70" w:name="role-of-gene-in-other-tissues"/>
    <w:p>
      <w:pPr>
        <w:pStyle w:val="Heading1"/>
      </w:pPr>
      <w:r>
        <w:t xml:space="preserve">12. Role of Gene in Other Tissues</w:t>
      </w:r>
    </w:p>
    <w:p>
      <w:pPr>
        <w:numPr>
          <w:ilvl w:val="0"/>
          <w:numId w:val="1009"/>
        </w:numPr>
        <w:pStyle w:val="Compact"/>
      </w:pPr>
      <w:r>
        <w:t xml:space="preserve">The increased intrathecal protein expression of the monocyte-attracting chemokines CCL7 and CXCL12 was found in tick-borne encephalitis [PMID: 33876413].</w:t>
      </w:r>
    </w:p>
    <w:p>
      <w:pPr>
        <w:numPr>
          <w:ilvl w:val="0"/>
          <w:numId w:val="1009"/>
        </w:numPr>
        <w:pStyle w:val="Compact"/>
      </w:pPr>
      <w:r>
        <w:t xml:space="preserve">The CC chemokine ligand 7 (CCL7) gene showed remarkable overexpression in liver metastatic colorectal cancer (CRC) tissues compared with primary CRC and normal colonic epithelium, suggesting that CCL7 as a target in liver metastasis of CRC may be of clinical value for the prevention of hepatic recurrences [PMID: 22614322]. CCL7 gene was significantly upregulated in bone marrow after bone metastasis of CRC [PMID: 35715847]. The overall survival (OS) of CRC patients with high concentrations of serum CCL7 was significantly poorer than that of patients with low concentrations [PMID: 36585204].</w:t>
      </w:r>
    </w:p>
    <w:p>
      <w:pPr>
        <w:numPr>
          <w:ilvl w:val="0"/>
          <w:numId w:val="1009"/>
        </w:numPr>
        <w:pStyle w:val="Compact"/>
      </w:pPr>
      <w:r>
        <w:t xml:space="preserve">Higher protein expression of CCL7 was found in gastric cancer tissues than in normal tissues was significantly correlated with advanced depth of wall invasion, lymph node metastasis and higher tumor node metastasis stage. CCL7 and CCL21 overexpression in cancer tissues was correlated with poor prognosis [PMID: 22468089].</w:t>
      </w:r>
    </w:p>
    <w:p>
      <w:pPr>
        <w:numPr>
          <w:ilvl w:val="0"/>
          <w:numId w:val="1009"/>
        </w:numPr>
        <w:pStyle w:val="Compact"/>
      </w:pPr>
      <w:r>
        <w:t xml:space="preserve">CCL7 gene was highly expressed in lung adenocarcinoma (LUAD) and linked to increased tumor-associated macrophages (TAMs) infiltration [PMID: 36118415].</w:t>
      </w:r>
    </w:p>
    <w:p>
      <w:pPr>
        <w:numPr>
          <w:ilvl w:val="0"/>
          <w:numId w:val="1009"/>
        </w:numPr>
        <w:pStyle w:val="Compact"/>
      </w:pPr>
      <w:r>
        <w:t xml:space="preserve">C-C Motif Chemokine Ligand 7 (CCL7) gene expression is significantly increased in nucleus pulposus cells under inflammatory conditions in intervertebral disc degeneration (IDD) [PMID: 38316963].</w:t>
      </w:r>
    </w:p>
    <w:p>
      <w:pPr>
        <w:numPr>
          <w:ilvl w:val="0"/>
          <w:numId w:val="1009"/>
        </w:numPr>
        <w:pStyle w:val="Compact"/>
      </w:pPr>
      <w:r>
        <w:t xml:space="preserve">In hepatocellular carcinoma (HCC), Ccl7 protein expression is upregulated in tumor-associated macrophages (TAMs) via TREM1 signaling, promoting metastasis and epithelial-mesenchymal transition (EMT) in cancer cells [PMID: 38914803].</w:t>
      </w:r>
    </w:p>
    <w:p>
      <w:pPr>
        <w:numPr>
          <w:ilvl w:val="0"/>
          <w:numId w:val="1009"/>
        </w:numPr>
        <w:pStyle w:val="Compact"/>
      </w:pPr>
      <w:r>
        <w:t xml:space="preserve">Mice that are genetically deficient in Ccl7 gene have a markedly increased viral burden in the central nervous system and increased mortality, accompanied by a profound decrease in monocyte and neutrophil quantity, when infected by West Nile virus [PMID: 26401006].</w:t>
      </w:r>
    </w:p>
    <w:p>
      <w:pPr>
        <w:numPr>
          <w:ilvl w:val="0"/>
          <w:numId w:val="1009"/>
        </w:numPr>
        <w:pStyle w:val="Compact"/>
      </w:pPr>
      <w:r>
        <w:t xml:space="preserve">CCL7 mRNA is over-expressed in breast cancer (BrCa) tissues and is associated with decreased overall survival and relapse-free survival. Elevated CCL7 expression is notably higher in triple-negative breast cancer (TNBC) [PMID: 30850664].</w:t>
      </w:r>
    </w:p>
    <w:bookmarkEnd w:id="70"/>
    <w:bookmarkStart w:id="72" w:name="X6a418851aade75f9472f140bae959c91bd4b668"/>
    <w:p>
      <w:pPr>
        <w:pStyle w:val="Heading1"/>
      </w:pPr>
      <w:r>
        <w:t xml:space="preserve">13. Chemicals Known to Elicit Transcriptional Response of Biomarker in Tissue of Interest</w:t>
      </w:r>
    </w:p>
    <w:bookmarkStart w:id="71" w:name="X600d33a2660f152ae9c796beb655bf7abc2ba5b"/>
    <w:p>
      <w:pPr>
        <w:pStyle w:val="Heading2"/>
      </w:pPr>
      <w:r>
        <w:t xml:space="preserve">Compounds that increase expression of the gene:</w:t>
      </w:r>
    </w:p>
    <w:p>
      <w:pPr>
        <w:numPr>
          <w:ilvl w:val="0"/>
          <w:numId w:val="1010"/>
        </w:numPr>
        <w:pStyle w:val="Compact"/>
      </w:pPr>
      <w:r>
        <w:t xml:space="preserve">methylmercury chloride [PMID: 31378766]</w:t>
      </w:r>
    </w:p>
    <w:bookmarkEnd w:id="71"/>
    <w:bookmarkEnd w:id="72"/>
    <w:bookmarkStart w:id="7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Tumor Cell Invasion [PMID: 28477403, PMID: 30788000]</w:t>
      </w:r>
    </w:p>
    <w:p>
      <w:pPr>
        <w:numPr>
          <w:ilvl w:val="0"/>
          <w:numId w:val="1011"/>
        </w:numPr>
        <w:pStyle w:val="Compact"/>
      </w:pPr>
      <w:r>
        <w:t xml:space="preserve">Systemic Scleroderma [PMID: 12847692, PMID: 12847692]</w:t>
      </w:r>
    </w:p>
    <w:p>
      <w:pPr>
        <w:numPr>
          <w:ilvl w:val="0"/>
          <w:numId w:val="1011"/>
        </w:numPr>
        <w:pStyle w:val="Compact"/>
      </w:pPr>
      <w:r>
        <w:t xml:space="preserve">Metastatic malignant neoplasm to brain [PMID: 24327013]</w:t>
      </w:r>
    </w:p>
    <w:p>
      <w:pPr>
        <w:numPr>
          <w:ilvl w:val="0"/>
          <w:numId w:val="1011"/>
        </w:numPr>
        <w:pStyle w:val="Compact"/>
      </w:pPr>
      <w:r>
        <w:t xml:space="preserve">Malignant neoplasm of breast [PMID: 28041977]</w:t>
      </w:r>
    </w:p>
    <w:p>
      <w:pPr>
        <w:numPr>
          <w:ilvl w:val="0"/>
          <w:numId w:val="1011"/>
        </w:numPr>
        <w:pStyle w:val="Compact"/>
      </w:pPr>
      <w:r>
        <w:t xml:space="preserve">Carcinoma of lung [PMID: 30214518, PMID: 30788000]</w:t>
      </w:r>
    </w:p>
    <w:bookmarkEnd w:id="7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80098" TargetMode="External" /><Relationship Type="http://schemas.openxmlformats.org/officeDocument/2006/relationships/hyperlink" Id="rId42" Target="https://alphafold.ebi.ac.uk/entry/Q9QXY8" TargetMode="External" /><Relationship Type="http://schemas.openxmlformats.org/officeDocument/2006/relationships/hyperlink" Id="rId31" Target="https://maayanlab.cloud/Harmonizome/gene/CCL7" TargetMode="External" /><Relationship Type="http://schemas.openxmlformats.org/officeDocument/2006/relationships/hyperlink" Id="rId52" Target="https://reactome.org/PathwayBrowser/#/R-HSA-380108" TargetMode="External" /><Relationship Type="http://schemas.openxmlformats.org/officeDocument/2006/relationships/hyperlink" Id="rId36" Target="https://rgd.mcw.edu/rgdweb/report/gene/main.html?id=1359152" TargetMode="External" /><Relationship Type="http://schemas.openxmlformats.org/officeDocument/2006/relationships/hyperlink" Id="rId25" Target="https://string-db.org/newstring_cgi/show_edge_details.pl?identifiers=9606.ENSP00000367832%0D9606.ENSP00000306512" TargetMode="External" /><Relationship Type="http://schemas.openxmlformats.org/officeDocument/2006/relationships/hyperlink" Id="rId26" Target="https://string-db.org/newstring_cgi/show_edge_details.pl?identifiers=9606.ENSP00000367832%0D9606.ENSP00000319635" TargetMode="External" /><Relationship Type="http://schemas.openxmlformats.org/officeDocument/2006/relationships/hyperlink" Id="rId27" Target="https://string-db.org/newstring_cgi/show_edge_details.pl?identifiers=9606.ENSP00000367832%0D9606.ENSP00000351059" TargetMode="External" /><Relationship Type="http://schemas.openxmlformats.org/officeDocument/2006/relationships/hyperlink" Id="rId34" Target="https://useast.ensembl.org/Homo_sapiens/Gene/Summary?g=ENSG00000108688" TargetMode="External" /><Relationship Type="http://schemas.openxmlformats.org/officeDocument/2006/relationships/hyperlink" Id="rId35" Target="https://useast.ensembl.org/Rattus_norvegicus/Gene/Summary?g=ENSRNOG00000000239" TargetMode="External" /><Relationship Type="http://schemas.openxmlformats.org/officeDocument/2006/relationships/hyperlink" Id="rId30" Target="https://www.genecards.org/cgi-bin/carddisp.pl?gene=CCL7" TargetMode="External" /><Relationship Type="http://schemas.openxmlformats.org/officeDocument/2006/relationships/hyperlink" Id="rId20" Target="https://www.genecards.org/cgi-bin/carddisp.pl?gene=MYBL2&amp;keywords=mybl2" TargetMode="External" /><Relationship Type="http://schemas.openxmlformats.org/officeDocument/2006/relationships/hyperlink" Id="rId56" Target="https://www.gsea-msigdb.org/gsea/msigdb/human/geneset/KEGG_NOD_LIKE_RECEPTOR_SIGNALING_PATHWAY.html" TargetMode="External" /><Relationship Type="http://schemas.openxmlformats.org/officeDocument/2006/relationships/hyperlink" Id="rId58" Target="https://www.gsea-msigdb.org/gsea/msigdb/human/geneset/NABA_MATRISOME_ASSOCIATED.html" TargetMode="External" /><Relationship Type="http://schemas.openxmlformats.org/officeDocument/2006/relationships/hyperlink" Id="rId57" Target="https://www.gsea-msigdb.org/gsea/msigdb/human/geneset/REACTOME_CLASS_A_1_RHODOPSIN_LIKE_RECEPTORS.html" TargetMode="External" /><Relationship Type="http://schemas.openxmlformats.org/officeDocument/2006/relationships/hyperlink" Id="rId55" Target="https://www.gsea-msigdb.org/gsea/msigdb/human/geneset/REACTOME_SIGNALING_BY_GPCR.html" TargetMode="External" /><Relationship Type="http://schemas.openxmlformats.org/officeDocument/2006/relationships/hyperlink" Id="rId33" Target="https://www.ncbi.nlm.nih.gov/gene/287561" TargetMode="External" /><Relationship Type="http://schemas.openxmlformats.org/officeDocument/2006/relationships/hyperlink" Id="rId32" Target="https://www.ncbi.nlm.nih.gov/gene/6354" TargetMode="External" /><Relationship Type="http://schemas.openxmlformats.org/officeDocument/2006/relationships/hyperlink" Id="rId68" Target="https://www.proteinatlas.org/ENSG00000108688/single+cell+type" TargetMode="External" /><Relationship Type="http://schemas.openxmlformats.org/officeDocument/2006/relationships/hyperlink" Id="rId62" Target="https://www.proteinatlas.org/ENSG00000108688/subcellular" TargetMode="External" /><Relationship Type="http://schemas.openxmlformats.org/officeDocument/2006/relationships/hyperlink" Id="rId67" Target="https://www.proteinatlas.org/ENSG00000108688/tissue" TargetMode="External" /><Relationship Type="http://schemas.openxmlformats.org/officeDocument/2006/relationships/hyperlink" Id="rId43" Target="https://www.rcsb.org/structure/1BO0" TargetMode="External" /><Relationship Type="http://schemas.openxmlformats.org/officeDocument/2006/relationships/hyperlink" Id="rId44" Target="https://www.rcsb.org/structure/1NCV" TargetMode="External" /><Relationship Type="http://schemas.openxmlformats.org/officeDocument/2006/relationships/hyperlink" Id="rId45" Target="https://www.rcsb.org/structure/4ZKC" TargetMode="External" /><Relationship Type="http://schemas.openxmlformats.org/officeDocument/2006/relationships/hyperlink" Id="rId46" Target="https://www.rcsb.org/structure/7S58" TargetMode="External" /><Relationship Type="http://schemas.openxmlformats.org/officeDocument/2006/relationships/hyperlink" Id="rId47" Target="https://www.rcsb.org/structure/7S59" TargetMode="External" /><Relationship Type="http://schemas.openxmlformats.org/officeDocument/2006/relationships/hyperlink" Id="rId48" Target="https://www.rcsb.org/structure/7SCU" TargetMode="External" /><Relationship Type="http://schemas.openxmlformats.org/officeDocument/2006/relationships/hyperlink" Id="rId49" Target="https://www.rcsb.org/structure/8FJ3" TargetMode="External" /><Relationship Type="http://schemas.openxmlformats.org/officeDocument/2006/relationships/hyperlink" Id="rId50" Target="https://www.rcsb.org/structure/8JPS" TargetMode="External" /><Relationship Type="http://schemas.openxmlformats.org/officeDocument/2006/relationships/hyperlink" Id="rId37" Target="https://www.uniprot.org/uniprotkb/P80098" TargetMode="External" /><Relationship Type="http://schemas.openxmlformats.org/officeDocument/2006/relationships/hyperlink" Id="rId38" Target="https://www.uniprot.org/uniprotkb/Q9QXY8" TargetMode="External" /><Relationship Type="http://schemas.openxmlformats.org/officeDocument/2006/relationships/hyperlink" Id="rId40" Target="https://www.wikigenes.org/e/gene/e/287561.html" TargetMode="External" /><Relationship Type="http://schemas.openxmlformats.org/officeDocument/2006/relationships/hyperlink" Id="rId39" Target="https://www.wikigenes.org/e/gene/e/6354.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80098" TargetMode="External" /><Relationship Type="http://schemas.openxmlformats.org/officeDocument/2006/relationships/hyperlink" Id="rId42" Target="https://alphafold.ebi.ac.uk/entry/Q9QXY8" TargetMode="External" /><Relationship Type="http://schemas.openxmlformats.org/officeDocument/2006/relationships/hyperlink" Id="rId31" Target="https://maayanlab.cloud/Harmonizome/gene/CCL7" TargetMode="External" /><Relationship Type="http://schemas.openxmlformats.org/officeDocument/2006/relationships/hyperlink" Id="rId52" Target="https://reactome.org/PathwayBrowser/#/R-HSA-380108" TargetMode="External" /><Relationship Type="http://schemas.openxmlformats.org/officeDocument/2006/relationships/hyperlink" Id="rId36" Target="https://rgd.mcw.edu/rgdweb/report/gene/main.html?id=1359152" TargetMode="External" /><Relationship Type="http://schemas.openxmlformats.org/officeDocument/2006/relationships/hyperlink" Id="rId25" Target="https://string-db.org/newstring_cgi/show_edge_details.pl?identifiers=9606.ENSP00000367832%0D9606.ENSP00000306512" TargetMode="External" /><Relationship Type="http://schemas.openxmlformats.org/officeDocument/2006/relationships/hyperlink" Id="rId26" Target="https://string-db.org/newstring_cgi/show_edge_details.pl?identifiers=9606.ENSP00000367832%0D9606.ENSP00000319635" TargetMode="External" /><Relationship Type="http://schemas.openxmlformats.org/officeDocument/2006/relationships/hyperlink" Id="rId27" Target="https://string-db.org/newstring_cgi/show_edge_details.pl?identifiers=9606.ENSP00000367832%0D9606.ENSP00000351059" TargetMode="External" /><Relationship Type="http://schemas.openxmlformats.org/officeDocument/2006/relationships/hyperlink" Id="rId34" Target="https://useast.ensembl.org/Homo_sapiens/Gene/Summary?g=ENSG00000108688" TargetMode="External" /><Relationship Type="http://schemas.openxmlformats.org/officeDocument/2006/relationships/hyperlink" Id="rId35" Target="https://useast.ensembl.org/Rattus_norvegicus/Gene/Summary?g=ENSRNOG00000000239" TargetMode="External" /><Relationship Type="http://schemas.openxmlformats.org/officeDocument/2006/relationships/hyperlink" Id="rId30" Target="https://www.genecards.org/cgi-bin/carddisp.pl?gene=CCL7" TargetMode="External" /><Relationship Type="http://schemas.openxmlformats.org/officeDocument/2006/relationships/hyperlink" Id="rId20" Target="https://www.genecards.org/cgi-bin/carddisp.pl?gene=MYBL2&amp;keywords=mybl2" TargetMode="External" /><Relationship Type="http://schemas.openxmlformats.org/officeDocument/2006/relationships/hyperlink" Id="rId56" Target="https://www.gsea-msigdb.org/gsea/msigdb/human/geneset/KEGG_NOD_LIKE_RECEPTOR_SIGNALING_PATHWAY.html" TargetMode="External" /><Relationship Type="http://schemas.openxmlformats.org/officeDocument/2006/relationships/hyperlink" Id="rId58" Target="https://www.gsea-msigdb.org/gsea/msigdb/human/geneset/NABA_MATRISOME_ASSOCIATED.html" TargetMode="External" /><Relationship Type="http://schemas.openxmlformats.org/officeDocument/2006/relationships/hyperlink" Id="rId57" Target="https://www.gsea-msigdb.org/gsea/msigdb/human/geneset/REACTOME_CLASS_A_1_RHODOPSIN_LIKE_RECEPTORS.html" TargetMode="External" /><Relationship Type="http://schemas.openxmlformats.org/officeDocument/2006/relationships/hyperlink" Id="rId55" Target="https://www.gsea-msigdb.org/gsea/msigdb/human/geneset/REACTOME_SIGNALING_BY_GPCR.html" TargetMode="External" /><Relationship Type="http://schemas.openxmlformats.org/officeDocument/2006/relationships/hyperlink" Id="rId33" Target="https://www.ncbi.nlm.nih.gov/gene/287561" TargetMode="External" /><Relationship Type="http://schemas.openxmlformats.org/officeDocument/2006/relationships/hyperlink" Id="rId32" Target="https://www.ncbi.nlm.nih.gov/gene/6354" TargetMode="External" /><Relationship Type="http://schemas.openxmlformats.org/officeDocument/2006/relationships/hyperlink" Id="rId68" Target="https://www.proteinatlas.org/ENSG00000108688/single+cell+type" TargetMode="External" /><Relationship Type="http://schemas.openxmlformats.org/officeDocument/2006/relationships/hyperlink" Id="rId62" Target="https://www.proteinatlas.org/ENSG00000108688/subcellular" TargetMode="External" /><Relationship Type="http://schemas.openxmlformats.org/officeDocument/2006/relationships/hyperlink" Id="rId67" Target="https://www.proteinatlas.org/ENSG00000108688/tissue" TargetMode="External" /><Relationship Type="http://schemas.openxmlformats.org/officeDocument/2006/relationships/hyperlink" Id="rId43" Target="https://www.rcsb.org/structure/1BO0" TargetMode="External" /><Relationship Type="http://schemas.openxmlformats.org/officeDocument/2006/relationships/hyperlink" Id="rId44" Target="https://www.rcsb.org/structure/1NCV" TargetMode="External" /><Relationship Type="http://schemas.openxmlformats.org/officeDocument/2006/relationships/hyperlink" Id="rId45" Target="https://www.rcsb.org/structure/4ZKC" TargetMode="External" /><Relationship Type="http://schemas.openxmlformats.org/officeDocument/2006/relationships/hyperlink" Id="rId46" Target="https://www.rcsb.org/structure/7S58" TargetMode="External" /><Relationship Type="http://schemas.openxmlformats.org/officeDocument/2006/relationships/hyperlink" Id="rId47" Target="https://www.rcsb.org/structure/7S59" TargetMode="External" /><Relationship Type="http://schemas.openxmlformats.org/officeDocument/2006/relationships/hyperlink" Id="rId48" Target="https://www.rcsb.org/structure/7SCU" TargetMode="External" /><Relationship Type="http://schemas.openxmlformats.org/officeDocument/2006/relationships/hyperlink" Id="rId49" Target="https://www.rcsb.org/structure/8FJ3" TargetMode="External" /><Relationship Type="http://schemas.openxmlformats.org/officeDocument/2006/relationships/hyperlink" Id="rId50" Target="https://www.rcsb.org/structure/8JPS" TargetMode="External" /><Relationship Type="http://schemas.openxmlformats.org/officeDocument/2006/relationships/hyperlink" Id="rId37" Target="https://www.uniprot.org/uniprotkb/P80098" TargetMode="External" /><Relationship Type="http://schemas.openxmlformats.org/officeDocument/2006/relationships/hyperlink" Id="rId38" Target="https://www.uniprot.org/uniprotkb/Q9QXY8" TargetMode="External" /><Relationship Type="http://schemas.openxmlformats.org/officeDocument/2006/relationships/hyperlink" Id="rId40" Target="https://www.wikigenes.org/e/gene/e/287561.html" TargetMode="External" /><Relationship Type="http://schemas.openxmlformats.org/officeDocument/2006/relationships/hyperlink" Id="rId39" Target="https://www.wikigenes.org/e/gene/e/63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2025-03-12T03:42:25Z</dcterms:created>
  <dcterms:modified xsi:type="dcterms:W3CDTF">2025-03-12T03:42:25Z</dcterms:modified>
</cp:coreProperties>
</file>

<file path=docProps/custom.xml><?xml version="1.0" encoding="utf-8"?>
<Properties xmlns="http://schemas.openxmlformats.org/officeDocument/2006/custom-properties" xmlns:vt="http://schemas.openxmlformats.org/officeDocument/2006/docPropsVTypes"/>
</file>