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FOS Like 1, AP-1 Transcription Factor Subunit, Fra-1, Fos-Related Antigen 1, FRA1, FOS Like 1, AP-1 Transcription Factor Subunit, FOS Like Antigen 1, FOS-Like Antigen-1, FRA-1, FRA [</w:t>
      </w:r>
      <w:hyperlink r:id="rId20">
        <w:r>
          <w:rPr>
            <w:rStyle w:val="Hyperlink"/>
          </w:rPr>
          <w:t xml:space="preserve">https://www.genecards.org/cgi-bin/carddisp.pl?gene=FOSL1</w:t>
        </w:r>
      </w:hyperlink>
      <w:r>
        <w:t xml:space="preserve">]</w:t>
      </w:r>
    </w:p>
    <w:bookmarkEnd w:id="21"/>
    <w:bookmarkStart w:id="23" w:name="X4adf9051cadc80e887225e41233ad6cd2885f45"/>
    <w:p>
      <w:pPr>
        <w:pStyle w:val="Heading1"/>
      </w:pPr>
      <w:r>
        <w:t xml:space="preserve">2. Association with Toxicity and/or Disease at a Transcriptional Level</w:t>
      </w:r>
    </w:p>
    <w:p>
      <w:pPr>
        <w:numPr>
          <w:ilvl w:val="0"/>
          <w:numId w:val="1002"/>
        </w:numPr>
        <w:pStyle w:val="Compact"/>
      </w:pPr>
      <w:r>
        <w:t xml:space="preserve">Upregulation of Fosl1 gene in dorsal root ganglion (DRG) neurons was observed after sciatic nerve crush in rats, and suppressing Fosl1 reduced axonal regrowth [</w:t>
      </w:r>
      <w:hyperlink r:id="rId22">
        <w:r>
          <w:rPr>
            <w:rStyle w:val="Hyperlink"/>
          </w:rPr>
          <w:t xml:space="preserve">PMID: 36926732</w:t>
        </w:r>
      </w:hyperlink>
      <w:r>
        <w:t xml:space="preserve">].</w:t>
      </w:r>
    </w:p>
    <w:p>
      <w:pPr>
        <w:numPr>
          <w:ilvl w:val="0"/>
          <w:numId w:val="1002"/>
        </w:numPr>
        <w:pStyle w:val="Compact"/>
      </w:pPr>
      <w:r>
        <w:t xml:space="preserve">FOSL1 is upregulated at the injured sites following sciatic nerve injury. FOSL1 was immediately up-regulated at early time points post nerve injury. At 1 day after nerve injury, FOSL1 mRNA abundance exhibited a more than 7-fold up-regulation as compared with its expression in uninjured 0-day control. FOSL1 mRNA was kept expressed at relatively high levels at later time points, with an approximately 4-fold upregulation at 4 days after nerve injury and an approximately 2.5-fold upregulation at 7 days after nerve injury [PMID: 37949219].</w:t>
      </w:r>
    </w:p>
    <w:bookmarkEnd w:id="23"/>
    <w:bookmarkStart w:id="25" w:name="summary-of-protein-family-and-structure"/>
    <w:p>
      <w:pPr>
        <w:pStyle w:val="Heading1"/>
      </w:pPr>
      <w:r>
        <w:t xml:space="preserve">3. Summary of Protein Family and Structure</w:t>
      </w:r>
    </w:p>
    <w:p>
      <w:pPr>
        <w:numPr>
          <w:ilvl w:val="0"/>
          <w:numId w:val="1003"/>
        </w:numPr>
        <w:pStyle w:val="Compact"/>
      </w:pPr>
      <w:r>
        <w:t xml:space="preserve">Protein Accession: P15407</w:t>
      </w:r>
    </w:p>
    <w:p>
      <w:pPr>
        <w:numPr>
          <w:ilvl w:val="0"/>
          <w:numId w:val="1003"/>
        </w:numPr>
        <w:pStyle w:val="Compact"/>
      </w:pPr>
      <w:r>
        <w:t xml:space="preserve">Size: 271 amino acids</w:t>
      </w:r>
    </w:p>
    <w:p>
      <w:pPr>
        <w:numPr>
          <w:ilvl w:val="0"/>
          <w:numId w:val="1003"/>
        </w:numPr>
        <w:pStyle w:val="Compact"/>
      </w:pPr>
      <w:r>
        <w:t xml:space="preserve">Molecular mass: 29413 Da</w:t>
      </w:r>
    </w:p>
    <w:p>
      <w:pPr>
        <w:numPr>
          <w:ilvl w:val="0"/>
          <w:numId w:val="1003"/>
        </w:numPr>
        <w:pStyle w:val="Compact"/>
      </w:pPr>
      <w:r>
        <w:t xml:space="preserve">Domains: AP-1, bZIP, bZIP_sf</w:t>
      </w:r>
    </w:p>
    <w:p>
      <w:pPr>
        <w:numPr>
          <w:ilvl w:val="0"/>
          <w:numId w:val="1003"/>
        </w:numPr>
        <w:pStyle w:val="Compact"/>
      </w:pPr>
      <w:r>
        <w:t xml:space="preserve">Blocks: bZIP transcription factor, bZIP_1, Fos transforming protein signature</w:t>
      </w:r>
    </w:p>
    <w:p>
      <w:pPr>
        <w:numPr>
          <w:ilvl w:val="0"/>
          <w:numId w:val="1003"/>
        </w:numPr>
        <w:pStyle w:val="Compact"/>
      </w:pPr>
      <w:r>
        <w:t xml:space="preserve">Family: Belongs to the bZIP family. Fos subfamily</w:t>
      </w:r>
    </w:p>
    <w:p>
      <w:pPr>
        <w:numPr>
          <w:ilvl w:val="0"/>
          <w:numId w:val="1003"/>
        </w:numPr>
        <w:pStyle w:val="Compact"/>
      </w:pPr>
      <w:r>
        <w:t xml:space="preserve">The crystal structure of the human basophilic leukemia-expressed protein (BLES03) adopts a fold similar to eukaryotic transcription initiation factor 4E (eIF4E), suggesting that BLES03 may be involved in a biochemical process that requires recognition of nucleic acids, and its gene locus is located between genes encoding the proteins DRAP1 and FOSL1, both of which are involved in transcription initiation</w:t>
      </w:r>
      <w:r>
        <w:t xml:space="preserve"> </w:t>
      </w:r>
      <w:hyperlink r:id="rId24">
        <w:r>
          <w:rPr>
            <w:rStyle w:val="Hyperlink"/>
          </w:rPr>
          <w:t xml:space="preserve">[PMID: 16511166]</w:t>
        </w:r>
      </w:hyperlink>
      <w:r>
        <w:t xml:space="preserve">.</w:t>
      </w:r>
    </w:p>
    <w:p>
      <w:pPr>
        <w:numPr>
          <w:ilvl w:val="0"/>
          <w:numId w:val="1003"/>
        </w:numPr>
        <w:pStyle w:val="Compact"/>
      </w:pPr>
      <w:r>
        <w:t xml:space="preserve">The dimeric transcription factor AP-1 (activator protein1) is composed of members of the Fos, Jun, and ATF family of proteins. Members of the AP-1 complex are critically involved in a multitude of cellular processes such as proliferation, differentiation, cell death, and oncogenic transformation. It has been hypothesized that the ability to regulate such a large number of biological processes is achieved by the formation of various functional dimers with distinct biological properties. Fos proteins (c-Fos, FosB, Fra-1, Fra-2) form stable dimers with Jun proteins (c-Jun, JunB, JunD), whereas Jun proteins can form homodimers and heterodimers with Fos and ATF proteins [PMID: 11069886].</w:t>
      </w:r>
    </w:p>
    <w:bookmarkEnd w:id="25"/>
    <w:bookmarkStart w:id="32"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4"/>
        </w:numPr>
        <w:pStyle w:val="Compact"/>
      </w:pPr>
      <w:r>
        <w:rPr>
          <w:bCs/>
          <w:b/>
        </w:rPr>
        <w:t xml:space="preserve">JUN</w:t>
      </w:r>
      <w:r>
        <w:t xml:space="preserve"> </w:t>
      </w:r>
      <w:r>
        <w:t xml:space="preserve">Transcription factor AP-1; Transcription factor that recognizes and binds to the enhancer heptamer motif 5’-TGA[CG]TCA-3’. Promotes activity of NR5A1 when phosphorylated by HIPK3 leading to increased steroidogenic gene expression upon cAMP signaling pathway stimulation. Involved in activated KRAS-mediated transcriptional activation of USP28 in colorectal cancer (CRC) cells. Binds to the USP28 promoter in colorectal cancer (CRC) cells. Belongs to the bZIP family. Jun subfamily. [PMID: 11431474, PMID: 11708771, PMID: 11912197, PMID: 20511396, PMID: 23661758, PMID: 24029232, PMID: 26258633, PMID: 9160889]</w:t>
      </w:r>
    </w:p>
    <w:p>
      <w:pPr>
        <w:numPr>
          <w:ilvl w:val="0"/>
          <w:numId w:val="1004"/>
        </w:numPr>
        <w:pStyle w:val="Compact"/>
      </w:pPr>
      <w:r>
        <w:rPr>
          <w:bCs/>
          <w:b/>
        </w:rPr>
        <w:t xml:space="preserve">JUNB</w:t>
      </w:r>
      <w:r>
        <w:t xml:space="preserve"> </w:t>
      </w:r>
      <w:r>
        <w:t xml:space="preserve">Transcription factor jun-B; Transcription factor involved in regulating gene activity following the primary growth factor response. Binds to the DNA sequence 5’-TGA[CG]TCA-3’; Belongs to the bZIP family. Jun subfamily. [PMID: 12371906, PMID: 16189514, PMID: 23661758, PMID: 24029232, PMID: 32296183]</w:t>
      </w:r>
    </w:p>
    <w:p>
      <w:pPr>
        <w:numPr>
          <w:ilvl w:val="0"/>
          <w:numId w:val="1004"/>
        </w:numPr>
        <w:pStyle w:val="Compact"/>
      </w:pPr>
      <w:r>
        <w:rPr>
          <w:bCs/>
          <w:b/>
        </w:rPr>
        <w:t xml:space="preserve">USF1</w:t>
      </w:r>
      <w:r>
        <w:t xml:space="preserve"> </w:t>
      </w:r>
      <w:r>
        <w:t xml:space="preserve">Upstream stimulatory factor 1; Transcription factor that binds to a symmetrical DNA sequence (E-boxes) (5’-CACGTG-3’) that is found in a variety of viral and cellular promoters. [PMID: 25416956, PMID: 32296183, PMID: 9160889]</w:t>
      </w:r>
    </w:p>
    <w:p>
      <w:pPr>
        <w:numPr>
          <w:ilvl w:val="0"/>
          <w:numId w:val="1004"/>
        </w:numPr>
        <w:pStyle w:val="Compact"/>
      </w:pPr>
      <w:r>
        <w:rPr>
          <w:bCs/>
          <w:b/>
        </w:rPr>
        <w:t xml:space="preserve">NME7</w:t>
      </w:r>
      <w:r>
        <w:t xml:space="preserve"> </w:t>
      </w:r>
      <w:r>
        <w:t xml:space="preserve">Nucleoside diphosphate kinase 7; Major role in the synthesis of nucleoside triphosphates other than ATP. The ATP gamma phosphate is transferred to the NDP beta phosphate via a ping-pong mechanism, using a phosphorylated active-site intermediate; Belongs to the NDK family. [PMID: 21516116, PMID: 25416956, PMID: 32296183]</w:t>
      </w:r>
    </w:p>
    <w:p>
      <w:pPr>
        <w:numPr>
          <w:ilvl w:val="0"/>
          <w:numId w:val="1004"/>
        </w:numPr>
        <w:pStyle w:val="Compact"/>
      </w:pPr>
      <w:r>
        <w:rPr>
          <w:bCs/>
          <w:b/>
        </w:rPr>
        <w:t xml:space="preserve">JUND</w:t>
      </w:r>
      <w:r>
        <w:t xml:space="preserve"> </w:t>
      </w:r>
      <w:r>
        <w:t xml:space="preserve">Transcription factor jun-D; Transcription factor binding AP-1 sites. [PMID: 24029232, PMID: 26258633]</w:t>
      </w:r>
    </w:p>
    <w:p>
      <w:pPr>
        <w:numPr>
          <w:ilvl w:val="0"/>
          <w:numId w:val="1004"/>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17882273, PMID: 21937452]</w:t>
      </w:r>
    </w:p>
    <w:p>
      <w:pPr>
        <w:numPr>
          <w:ilvl w:val="0"/>
          <w:numId w:val="1004"/>
        </w:numPr>
        <w:pStyle w:val="Compact"/>
      </w:pPr>
      <w:r>
        <w:rPr>
          <w:bCs/>
          <w:b/>
        </w:rPr>
        <w:t xml:space="preserve">TAB2</w:t>
      </w:r>
      <w:r>
        <w:t xml:space="preserve"> </w:t>
      </w:r>
      <w:r>
        <w:t xml:space="preserve">TGF-beta-activated kinase 1 and MAP3K7-binding protein 2; Adapter linking MAP3K7/TAK1 and TRAF6. Promotes MAP3K7 activation in the IL1 signaling pathway. The binding of</w:t>
      </w:r>
      <w:r>
        <w:t xml:space="preserve"> </w:t>
      </w:r>
      <w:r>
        <w:t xml:space="preserve">‘</w:t>
      </w:r>
      <w:r>
        <w:t xml:space="preserve">Lys-63</w:t>
      </w:r>
      <w:r>
        <w:t xml:space="preserve">’</w:t>
      </w:r>
      <w:r>
        <w:t xml:space="preserve">-linked polyubiquitin chains to TAB2 promotes autophosphorylation of MAP3K7 at</w:t>
      </w:r>
      <w:r>
        <w:t xml:space="preserve"> </w:t>
      </w:r>
      <w:r>
        <w:t xml:space="preserve">‘</w:t>
      </w:r>
      <w:r>
        <w:t xml:space="preserve">Thr-187</w:t>
      </w:r>
      <w:r>
        <w:t xml:space="preserve">’</w:t>
      </w:r>
      <w:r>
        <w:t xml:space="preserve">. Involved in heart development. [PMID: 21988832, PMID: 32296183]</w:t>
      </w:r>
    </w:p>
    <w:p>
      <w:pPr>
        <w:numPr>
          <w:ilvl w:val="0"/>
          <w:numId w:val="1004"/>
        </w:numPr>
        <w:pStyle w:val="Compact"/>
      </w:pPr>
      <w:r>
        <w:rPr>
          <w:bCs/>
          <w:b/>
        </w:rPr>
        <w:t xml:space="preserve">CREB5</w:t>
      </w:r>
      <w:r>
        <w:t xml:space="preserve"> </w:t>
      </w:r>
      <w:r>
        <w:t xml:space="preserve">Cyclic AMP-responsive element-binding protein 5; Binds to the cAMP response element and activates transcription. [PMID: 25416956, PMID: 32296183]</w:t>
      </w:r>
    </w:p>
    <w:p>
      <w:pPr>
        <w:numPr>
          <w:ilvl w:val="0"/>
          <w:numId w:val="1004"/>
        </w:numPr>
        <w:pStyle w:val="Compact"/>
      </w:pPr>
      <w:r>
        <w:rPr>
          <w:bCs/>
          <w:b/>
        </w:rPr>
        <w:t xml:space="preserve">ATF4</w:t>
      </w:r>
      <w:r>
        <w:t xml:space="preserve"> </w:t>
      </w:r>
      <w:r>
        <w:t xml:space="preserve">Cyclic AMP-dependent transcription factor ATF-4; Transcriptional activator. Binds the cAMP response element (CRE) (consensus: 5’-GTGACGT[AC][AG]-3’), a sequence present in many viral and cellular promoters. Cooperates with FOXO1 in osteoblasts to regulate glucose homeostasis through suppression of beta-cell production and decrease in insulin production (By similarity). It binds to a Tax-responsive enhancer element in the long terminal repeat of HTLV-I. Regulates the induction of DDIT3/CHOP and asparagine synthetase (ASNS) in response to endoplasmic reticulum (ER) stress. [PMID: 1827203, PMID: 23661758]</w:t>
      </w:r>
    </w:p>
    <w:p>
      <w:pPr>
        <w:numPr>
          <w:ilvl w:val="0"/>
          <w:numId w:val="1004"/>
        </w:numPr>
        <w:pStyle w:val="Compact"/>
      </w:pPr>
      <w:r>
        <w:rPr>
          <w:bCs/>
          <w:b/>
        </w:rPr>
        <w:t xml:space="preserve">LDOC1</w:t>
      </w:r>
      <w:r>
        <w:t xml:space="preserve"> </w:t>
      </w:r>
      <w:r>
        <w:t xml:space="preserve">Protein LDOC1; May have an important role in the development and/or progression of some cancers; Belongs to the LDOC1 family. [PMID: 16189514, PMID: 19060904]</w:t>
      </w:r>
    </w:p>
    <w:p>
      <w:pPr>
        <w:numPr>
          <w:ilvl w:val="0"/>
          <w:numId w:val="1004"/>
        </w:numPr>
        <w:pStyle w:val="Compact"/>
      </w:pPr>
      <w:r>
        <w:rPr>
          <w:bCs/>
          <w:b/>
        </w:rPr>
        <w:t xml:space="preserve">KIF1B</w:t>
      </w:r>
      <w:r>
        <w:t xml:space="preserve"> </w:t>
      </w:r>
      <w:r>
        <w:t xml:space="preserve">Kinesin-like protein KIF1B; Motor for anterograde transport of mitochondria. Has a microtubule plus end-directed motility. Isoform 2 is required for induction of neuronal apoptosis. [PMID: 32814053]</w:t>
      </w:r>
    </w:p>
    <w:p>
      <w:pPr>
        <w:numPr>
          <w:ilvl w:val="0"/>
          <w:numId w:val="1004"/>
        </w:numPr>
        <w:pStyle w:val="Compact"/>
      </w:pPr>
      <w:r>
        <w:rPr>
          <w:bCs/>
          <w:b/>
        </w:rPr>
        <w:t xml:space="preserve">KIFC3</w:t>
      </w:r>
      <w:r>
        <w:t xml:space="preserve"> </w:t>
      </w:r>
      <w:r>
        <w:t xml:space="preserve">Kinesin-like protein KIFC3; Minus-end microtubule-dependent motor protein. Involved in apically targeted transport (By similarity). Required for zonula adherens maintenance. [PMID: 32296183]</w:t>
      </w:r>
    </w:p>
    <w:p>
      <w:pPr>
        <w:numPr>
          <w:ilvl w:val="0"/>
          <w:numId w:val="1004"/>
        </w:numPr>
        <w:pStyle w:val="Compact"/>
      </w:pPr>
      <w:r>
        <w:rPr>
          <w:bCs/>
          <w:b/>
        </w:rPr>
        <w:t xml:space="preserve">KPNA1</w:t>
      </w:r>
      <w:r>
        <w:t xml:space="preserve"> </w:t>
      </w:r>
      <w:r>
        <w:t xml:space="preserve">Importin subunit alpha-5, N-terminally processed; Functions in nuclear protein import as an adapter protein for nuclear receptor KPNB1. Binds specifically and directly to substrates containing either a simple or bipartite NLS motif. Docking of the importin/substrate complex to the nuclear pore complex (NPC) is mediated by KPNB1 through binding to nucleoporin FxFG repeats and the complex is subsequently translocated through the pore by an energy requiring, Ran-dependent mechanism. [PMID: 21988832]</w:t>
      </w:r>
    </w:p>
    <w:p>
      <w:pPr>
        <w:numPr>
          <w:ilvl w:val="0"/>
          <w:numId w:val="1004"/>
        </w:numPr>
        <w:pStyle w:val="Compact"/>
      </w:pPr>
      <w:r>
        <w:rPr>
          <w:bCs/>
          <w:b/>
        </w:rPr>
        <w:t xml:space="preserve">MAF</w:t>
      </w:r>
      <w:r>
        <w:t xml:space="preserve"> </w:t>
      </w:r>
      <w:r>
        <w:t xml:space="preserve">Transcription factor Maf; Acts as a transcriptional activator or repressor. Involved in embryonic lens fiber cell development. Recruits the transcriptional coactivators CREBBP and/or EP300 to crystallin promoters leading to up- regulation of crystallin gene during lens fiber cell differentiation. Activates the expression of IL4 in T helper 2 (Th2) cells. Increases T- cell susceptibility to apoptosis by interacting with MYB and decreasing BCL2 expression. Together with PAX6, transactivates strongly the glucagon gene promoter through the G1 element. [PMID: 23661758]</w:t>
      </w:r>
    </w:p>
    <w:p>
      <w:pPr>
        <w:numPr>
          <w:ilvl w:val="0"/>
          <w:numId w:val="1004"/>
        </w:numPr>
        <w:pStyle w:val="Compact"/>
      </w:pPr>
      <w:r>
        <w:rPr>
          <w:bCs/>
          <w:b/>
        </w:rPr>
        <w:t xml:space="preserve">MAFB</w:t>
      </w:r>
      <w:r>
        <w:t xml:space="preserve"> </w:t>
      </w:r>
      <w:r>
        <w:t xml:space="preserve">Transcription factor MafB; Acts as a transcriptional activator or repressor. Plays a pivotal role in regulating lineage-specific hematopoiesis by repressing ETS1-mediated transcription of erythroid- specific genes in myeloid cells. Required for monocytic, macrophage, osteoclast, podocyte and islet beta cell differentiation. Involved in renal tubule survival and F4/80 maturation. Activates the insulin and glucagon promoters. Together with PAX6, transactivates weakly the glucagon gene promoter through the G1 element. [PMID: 23661758]</w:t>
      </w:r>
    </w:p>
    <w:p>
      <w:pPr>
        <w:numPr>
          <w:ilvl w:val="0"/>
          <w:numId w:val="1004"/>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w:t>
      </w:r>
    </w:p>
    <w:p>
      <w:pPr>
        <w:numPr>
          <w:ilvl w:val="0"/>
          <w:numId w:val="1004"/>
        </w:numPr>
        <w:pStyle w:val="Compact"/>
      </w:pPr>
      <w:r>
        <w:rPr>
          <w:bCs/>
          <w:b/>
        </w:rPr>
        <w:t xml:space="preserve">NKX2-1</w:t>
      </w:r>
      <w:r>
        <w:t xml:space="preserve"> </w:t>
      </w:r>
      <w:r>
        <w:t xml:space="preserve">Homeobox protein Nkx-2. 1; Transcription factor that binds and activates the promoter of thyroid specific genes such as thyroglobulin, thyroperoxidase, and thyrotropin receptor. Crucial in the maintenance of the thyroid differentiation phenotype. May play a role in lung development and surfactant homeostasis. Forms a regulatory loop with GRHL2 that coordinates lung epithelial cell morphogenesis and differentiation. Activates the transcription of GNRHR and plays a role in enhancing the circadian oscillation of its gene expression. [PMID: 28192407]</w:t>
      </w:r>
    </w:p>
    <w:p>
      <w:pPr>
        <w:numPr>
          <w:ilvl w:val="0"/>
          <w:numId w:val="1004"/>
        </w:numPr>
        <w:pStyle w:val="Compact"/>
      </w:pPr>
      <w:r>
        <w:rPr>
          <w:bCs/>
          <w:b/>
        </w:rPr>
        <w:t xml:space="preserve">ATF2</w:t>
      </w:r>
      <w:r>
        <w:t xml:space="preserve"> </w:t>
      </w:r>
      <w:r>
        <w:t xml:space="preserve">Cyclic AMP-dependent transcription factor ATF-2; Transcriptional activator which regulates the transcription of various genes, including those involved in anti-apoptosis, cell growth, and DNA damage response. Dependent on its binding partner, binds to CRE (cAMP response element) consensus sequences (5’-TGACGTCA- 3’) or to AP-1 (activator protein 1) consensus sequences (5’-TGACTCA- 3’). In the nucleus, contributes to global transcription and the DNA damage response, in addition to specific transcriptional activities that are related to cell development, proliferation and death. [PMID: 23661758]</w:t>
      </w:r>
    </w:p>
    <w:p>
      <w:pPr>
        <w:numPr>
          <w:ilvl w:val="0"/>
          <w:numId w:val="1004"/>
        </w:numPr>
        <w:pStyle w:val="Compact"/>
      </w:pPr>
      <w:r>
        <w:rPr>
          <w:bCs/>
          <w:b/>
        </w:rPr>
        <w:t xml:space="preserve">PARVG</w:t>
      </w:r>
      <w:r>
        <w:t xml:space="preserve"> </w:t>
      </w:r>
      <w:r>
        <w:t xml:space="preserve">Gamma-parvin; Probably plays a role in the regulation of cell adhesion and cytoskeleton organization; Belongs to the parvin family. [PMID: 21988832]</w:t>
      </w:r>
    </w:p>
    <w:p>
      <w:pPr>
        <w:numPr>
          <w:ilvl w:val="0"/>
          <w:numId w:val="1004"/>
        </w:numPr>
        <w:pStyle w:val="Compact"/>
      </w:pPr>
      <w:r>
        <w:rPr>
          <w:bCs/>
          <w:b/>
        </w:rPr>
        <w:t xml:space="preserve">PIN1</w:t>
      </w:r>
      <w:r>
        <w:t xml:space="preserve"> </w:t>
      </w:r>
      <w:r>
        <w:t xml:space="preserve">Peptidyl-prolyl cis-trans isomerase NIMA-interacting 1; Peptidyl-prolyl cis/trans isomerase (PPIase) that binds to and isomerizes specific phosphorylated Ser/Thr-Pro (pSer/Thr-Pro) motifs. By inducing conformational changes in a subset of phosphorylated proteins, acts as a molecular switch in multiple cellular processes. Displays a preference for acidic residues located N-terminally to the proline bond to be isomerized. Regulates mitosis presumably by interacting with NIMA and attenuating its mitosis-promoting activity. Down-regulates kinase activity of BTK. [PMID: 32296183]</w:t>
      </w:r>
    </w:p>
    <w:p>
      <w:pPr>
        <w:numPr>
          <w:ilvl w:val="0"/>
          <w:numId w:val="1004"/>
        </w:numPr>
        <w:pStyle w:val="Compact"/>
      </w:pPr>
      <w:r>
        <w:rPr>
          <w:bCs/>
          <w:b/>
        </w:rPr>
        <w:t xml:space="preserve">RNF11</w:t>
      </w:r>
      <w:r>
        <w:t xml:space="preserve"> </w:t>
      </w:r>
      <w:r>
        <w:t xml:space="preserve">RING finger protein 11; Essential component of a ubiquitin-editing protein complex, comprising also TNFAIP3, ITCH and TAX1BP1, that ensures the transient nature of inflammatory signaling pathways. Promotes the association of TNFAIP3 to RIPK1 after TNF stimulation. TNFAIP3 deubiquitinates</w:t>
      </w:r>
      <w:r>
        <w:t xml:space="preserve"> </w:t>
      </w:r>
      <w:r>
        <w:t xml:space="preserve">‘</w:t>
      </w:r>
      <w:r>
        <w:t xml:space="preserve">Lys- 63</w:t>
      </w:r>
      <w:r>
        <w:t xml:space="preserve">’</w:t>
      </w:r>
      <w:r>
        <w:t xml:space="preserve"> </w:t>
      </w:r>
      <w:r>
        <w:t xml:space="preserve">polyubiquitin chains on RIPK1 and catalyzes the formation of</w:t>
      </w:r>
      <w:r>
        <w:t xml:space="preserve"> </w:t>
      </w:r>
      <w:r>
        <w:t xml:space="preserve">‘</w:t>
      </w:r>
      <w:r>
        <w:t xml:space="preserve">Lys- 48</w:t>
      </w:r>
      <w:r>
        <w:t xml:space="preserve">’</w:t>
      </w:r>
      <w:r>
        <w:t xml:space="preserve">-polyubiquitin chains. This leads to RIPK1 proteasomal degradation and consequently termination of the TNF- or LPS-mediated activation of NF-kappa-B. [PMID: 32814053]</w:t>
      </w:r>
    </w:p>
    <w:p>
      <w:pPr>
        <w:numPr>
          <w:ilvl w:val="0"/>
          <w:numId w:val="1004"/>
        </w:numPr>
        <w:pStyle w:val="Compact"/>
      </w:pPr>
      <w:r>
        <w:rPr>
          <w:bCs/>
          <w:b/>
        </w:rPr>
        <w:t xml:space="preserve">SNAI1</w:t>
      </w:r>
      <w:r>
        <w:t xml:space="preserve"> </w:t>
      </w:r>
      <w:r>
        <w:t xml:space="preserve">Zinc finger protein SNAI1; Involved in induction of the epithelial to mesenchymal transition (EMT), formation and maintenance of embryonic mesoderm, growth arrest, survival and cell migration. Binds to 3 E-boxes of the E-cadherin/CDH1 gene promoter and to the promoters of CLDN7 and KRT8 and, in association with histone demethylase KDM1A which it recruits to the promoters, causes a decrease in dimethylated H3K4 levels and represses transcription. [PMID: 24029232]</w:t>
      </w:r>
    </w:p>
    <w:p>
      <w:pPr>
        <w:numPr>
          <w:ilvl w:val="0"/>
          <w:numId w:val="1004"/>
        </w:numPr>
        <w:pStyle w:val="Compact"/>
      </w:pPr>
      <w:r>
        <w:rPr>
          <w:bCs/>
          <w:b/>
        </w:rPr>
        <w:t xml:space="preserve">TEAD1</w:t>
      </w:r>
      <w:r>
        <w:t xml:space="preserve"> </w:t>
      </w:r>
      <w:r>
        <w:t xml:space="preserve">Transcriptional enhancer factor TEF-1; Transcription factor which plays a key role in the Hippo signaling pathway, a pathway involved in organ size control and tumor suppression by restricting proliferation and promoting apoptosis. The core of this pathway is composed of a kinase cascade wherein MST1/MST2, in complex with its regulatory protein SAV1, phosphorylates and activates LATS1/2 in complex with its regulatory protein MOB1, which in turn phosphorylates and inactivates YAP1 oncoprotein and WWTR1/TAZ. [PMID: 26258633]</w:t>
      </w:r>
    </w:p>
    <w:p>
      <w:pPr>
        <w:numPr>
          <w:ilvl w:val="0"/>
          <w:numId w:val="1004"/>
        </w:numPr>
        <w:pStyle w:val="Compact"/>
      </w:pPr>
      <w:r>
        <w:rPr>
          <w:bCs/>
          <w:b/>
        </w:rPr>
        <w:t xml:space="preserve">TICAM1</w:t>
      </w:r>
      <w:r>
        <w:t xml:space="preserve"> </w:t>
      </w:r>
      <w:r>
        <w:t xml:space="preserve">TIR domain-containing adapter molecule 1; Involved in innate immunity against invading pathogens. Adapter used by TLR3, TLR4 (through TICAM2) and TLR5 to mediate NF- kappa-B and interferon-regulatory factor (IRF) activation, and to induce apoptosis. Ligand binding to these receptors results in TRIF recruitment through its TIR domain. Distinct protein-interaction motifs allow recruitment of the effector proteins TBK1, TRAF6 and RIPK1, which in turn, lead to the activation of transcription factors IRF3 and IRF7, NF-kappa-B and FADD respectively. [PMID: 28049150]</w:t>
      </w:r>
    </w:p>
    <w:p>
      <w:pPr>
        <w:numPr>
          <w:ilvl w:val="0"/>
          <w:numId w:val="1004"/>
        </w:numPr>
        <w:pStyle w:val="Compact"/>
      </w:pPr>
      <w:r>
        <w:rPr>
          <w:bCs/>
          <w:b/>
        </w:rPr>
        <w:t xml:space="preserve">TRAF3</w:t>
      </w:r>
      <w:r>
        <w:t xml:space="preserve"> </w:t>
      </w:r>
      <w:r>
        <w:t xml:space="preserve">TNF receptor-associated factor 3; Regulates pathways leading to the activation of NF-kappa-B and MAP kinases, and plays a central role in the regulation of B-cell survival. Part of signaling pathways leading to the production of cytokines and interferon. Required for normal antibody isotype switching from IgM to IgG. Plays a role T-cell dependent immune responses. Plays a role in the regulation of antiviral responses. Is an essential constituent of several E3 ubiquitin-protein ligase complexes. [PMID: 28049150]</w:t>
      </w:r>
    </w:p>
    <w:p>
      <w:pPr>
        <w:numPr>
          <w:ilvl w:val="0"/>
          <w:numId w:val="1004"/>
        </w:numPr>
        <w:pStyle w:val="Compact"/>
      </w:pPr>
      <w:r>
        <w:rPr>
          <w:bCs/>
          <w:b/>
        </w:rPr>
        <w:t xml:space="preserve">TRIM24</w:t>
      </w:r>
      <w:r>
        <w:t xml:space="preserve"> </w:t>
      </w:r>
      <w:r>
        <w:t xml:space="preserve">Transcription intermediary factor 1-alpha; Transcriptional coactivator that interacts with numerous nuclear receptors and coactivators and modulates the transcription of target genes. Interacts with chromatin depending on histone H3 modifications, having the highest affinity for histone H3 that is both unmodified at</w:t>
      </w:r>
      <w:r>
        <w:t xml:space="preserve"> </w:t>
      </w:r>
      <w:r>
        <w:t xml:space="preserve">‘</w:t>
      </w:r>
      <w:r>
        <w:t xml:space="preserve">Lys-4</w:t>
      </w:r>
      <w:r>
        <w:t xml:space="preserve">’</w:t>
      </w:r>
      <w:r>
        <w:t xml:space="preserve"> </w:t>
      </w:r>
      <w:r>
        <w:t xml:space="preserve">(H3K4me0) and acetylated at</w:t>
      </w:r>
      <w:r>
        <w:t xml:space="preserve"> </w:t>
      </w:r>
      <w:r>
        <w:t xml:space="preserve">‘</w:t>
      </w:r>
      <w:r>
        <w:t xml:space="preserve">Lys-23</w:t>
      </w:r>
      <w:r>
        <w:t xml:space="preserve">’</w:t>
      </w:r>
      <w:r>
        <w:t xml:space="preserve"> </w:t>
      </w:r>
      <w:r>
        <w:t xml:space="preserve">(H3K23ac). Has E3 protein-ubiquitin ligase activity. Promotes ubiquitination and proteasomal degradation of p53/TP53. [PMID: 20211142]</w:t>
      </w:r>
    </w:p>
    <w:p>
      <w:pPr>
        <w:numPr>
          <w:ilvl w:val="0"/>
          <w:numId w:val="1004"/>
        </w:numPr>
        <w:pStyle w:val="Compact"/>
      </w:pPr>
      <w:r>
        <w:rPr>
          <w:bCs/>
          <w:b/>
        </w:rPr>
        <w:t xml:space="preserve">TWIST1</w:t>
      </w:r>
      <w:r>
        <w:t xml:space="preserve"> </w:t>
      </w:r>
      <w:r>
        <w:t xml:space="preserve">Twist-related protein 1; Acts as a transcriptional regulator. Inhibits myogenesis by sequestrating E proteins, inhibiting trans-activation by MEF2, and inhibiting DNA-binding by MYOD1 through physical interaction. This interaction probably involves the basic domains of both proteins. Also represses expression of proinflammatory cytokines such as TNFA and IL1B. Regulates cranial suture patterning and fusion. Activates transcription as a heterodimer with E proteins. Regulates gene expression differentially, depending on dimer composition. [PMID: 24029232]</w:t>
      </w:r>
    </w:p>
    <w:p>
      <w:pPr>
        <w:numPr>
          <w:ilvl w:val="0"/>
          <w:numId w:val="1004"/>
        </w:numPr>
        <w:pStyle w:val="Compact"/>
      </w:pPr>
      <w:r>
        <w:rPr>
          <w:bCs/>
          <w:b/>
        </w:rPr>
        <w:t xml:space="preserve">WFDC1</w:t>
      </w:r>
      <w:r>
        <w:t xml:space="preserve"> </w:t>
      </w:r>
      <w:r>
        <w:t xml:space="preserve">WAP four-disulfide core domain protein 1; Has growth inhibitory activity. [PMID: 21988832]</w:t>
      </w:r>
    </w:p>
    <w:p>
      <w:pPr>
        <w:numPr>
          <w:ilvl w:val="0"/>
          <w:numId w:val="1004"/>
        </w:numPr>
        <w:pStyle w:val="Compact"/>
      </w:pPr>
      <w:r>
        <w:rPr>
          <w:bCs/>
          <w:b/>
        </w:rPr>
        <w:t xml:space="preserve">WFS1</w:t>
      </w:r>
      <w:r>
        <w:t xml:space="preserve"> </w:t>
      </w:r>
      <w:r>
        <w:t xml:space="preserve">Wolframin; Participates in the regulation of cellular Ca(2+) homeostasis, at least partly, by modulating the filling state of the endoplasmic reticulum Ca(2+) store. [PMID: 32814053]</w:t>
      </w:r>
    </w:p>
    <w:p>
      <w:pPr>
        <w:numPr>
          <w:ilvl w:val="0"/>
          <w:numId w:val="1004"/>
        </w:numPr>
        <w:pStyle w:val="Compact"/>
      </w:pPr>
      <w:r>
        <w:rPr>
          <w:bCs/>
          <w:b/>
        </w:rPr>
        <w:t xml:space="preserve">PSMC3</w:t>
      </w:r>
      <w:r>
        <w:t xml:space="preserve"> </w:t>
      </w:r>
      <w:r>
        <w:t xml:space="preserve">26S proteasome regulatory subunit 6A; Component of the 26S proteasome, a multiprotein complex involved in the ATP-dependent degradation of ubiquitinated proteins. This complex plays a key role in the maintenance of protein homeostasis by removing misfolded or damaged proteins, which could impair cellular functions, and by removing proteins whose functions are no longer required. Therefore, the proteasome participates in numerous cellular processes, including cell cycle progression, apoptosis, or DNA damage repair. [PMID: 21874050]</w:t>
      </w:r>
    </w:p>
    <w:p>
      <w:pPr>
        <w:numPr>
          <w:ilvl w:val="0"/>
          <w:numId w:val="1004"/>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32814053]</w:t>
      </w:r>
    </w:p>
    <w:p>
      <w:pPr>
        <w:numPr>
          <w:ilvl w:val="0"/>
          <w:numId w:val="1004"/>
        </w:numPr>
        <w:pStyle w:val="Compact"/>
      </w:pPr>
      <w:r>
        <w:rPr>
          <w:bCs/>
          <w:b/>
        </w:rPr>
        <w:t xml:space="preserve">HSPA2</w:t>
      </w:r>
      <w:r>
        <w:t xml:space="preserve"> </w:t>
      </w:r>
      <w:r>
        <w:t xml:space="preserve">Heat shock-related 70 kDa protein 2; Molecular chaperone implicated in a wide variety of cellular processes, including protection of the proteome from stress, folding and transport of newly synthesized polypeptides, activation of proteolysis of misfolded proteins and the formation and dissociation of protein complexes. Plays a pivotal role in the protein quality control system, ensuring the correct folding of proteins, the re-folding of misfolded proteins and controlling the targeting of proteins for subsequent degradation. [PMID: 32814053]</w:t>
      </w:r>
    </w:p>
    <w:p>
      <w:pPr>
        <w:numPr>
          <w:ilvl w:val="0"/>
          <w:numId w:val="1004"/>
        </w:numPr>
        <w:pStyle w:val="Compact"/>
      </w:pPr>
      <w:r>
        <w:rPr>
          <w:bCs/>
          <w:b/>
        </w:rPr>
        <w:t xml:space="preserve">ATF3</w:t>
      </w:r>
      <w:r>
        <w:t xml:space="preserve"> </w:t>
      </w:r>
      <w:r>
        <w:t xml:space="preserve">Cyclic AMP-dependent transcription factor ATF-3; This protein binds the cAMP response element (CRE) (consensus: 5’-GTGACGT[AC][AG]-3’), a sequence present in many viral and cellular promoters. Represses transcription from promoters with ATF sites. It may repress transcription by stabilizing the binding of inhibitory cofactors at the promoter. Isoform 2 activates transcription presumably by sequestering inhibitory cofactors away from the promoters. [PMID: 23661758]</w:t>
      </w:r>
    </w:p>
    <w:p>
      <w:pPr>
        <w:numPr>
          <w:ilvl w:val="0"/>
          <w:numId w:val="1004"/>
        </w:numPr>
        <w:pStyle w:val="Compact"/>
      </w:pPr>
      <w:r>
        <w:rPr>
          <w:bCs/>
          <w:b/>
        </w:rPr>
        <w:t xml:space="preserve">ATXN1</w:t>
      </w:r>
      <w:r>
        <w:t xml:space="preserve"> </w:t>
      </w:r>
      <w:r>
        <w:t xml:space="preserve">Ataxin-1; Chromatin-binding factor that repress Notch signaling in the absence of Notch intracellular domain by acting as a CBF1 corepressor. Binds to the HEY promoter and might assist, along with NCOR2, RBPJ- mediated repression. Binds RNA in vitro. May be involved in RNA metabolism. In concert with CIC and ATXN1L, involved in brain development (By similarity). [PMID: 23275563]</w:t>
      </w:r>
    </w:p>
    <w:p>
      <w:pPr>
        <w:numPr>
          <w:ilvl w:val="0"/>
          <w:numId w:val="1004"/>
        </w:numPr>
        <w:pStyle w:val="Compact"/>
      </w:pPr>
      <w:r>
        <w:rPr>
          <w:bCs/>
          <w:b/>
        </w:rPr>
        <w:t xml:space="preserve">BATF3</w:t>
      </w:r>
      <w:r>
        <w:t xml:space="preserve"> </w:t>
      </w:r>
      <w:r>
        <w:t xml:space="preserve">Basic leucine zipper transcriptional factor ATF-like 3; AP-1 family transcription factor that controls the differentiation of CD8(+) thymic conventional dendritic cells in the immune system. Required for development of CD8-alpha(+) classical dendritic cells (cDCs) and related CD103(+) dendritic cells that cross- present antigens to CD8 T-cells and produce interleukin-12 (IL12) in response to pathogens (By similarity). Acts via the formation of a heterodimer with JUN family proteins that recognizes and binds DNA sequence 5’-TGA[CG]TCA-3’ and regulates expression of target genes. [PMID: 32296183]</w:t>
      </w:r>
    </w:p>
    <w:p>
      <w:pPr>
        <w:numPr>
          <w:ilvl w:val="0"/>
          <w:numId w:val="1004"/>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32416067]</w:t>
      </w:r>
    </w:p>
    <w:p>
      <w:pPr>
        <w:numPr>
          <w:ilvl w:val="0"/>
          <w:numId w:val="1004"/>
        </w:numPr>
        <w:pStyle w:val="Compact"/>
      </w:pPr>
      <w:r>
        <w:rPr>
          <w:bCs/>
          <w:b/>
        </w:rPr>
        <w:t xml:space="preserve">CALCOCO1</w:t>
      </w:r>
      <w:r>
        <w:t xml:space="preserve"> </w:t>
      </w:r>
      <w:r>
        <w:t xml:space="preserve">Calcium-binding and coiled-coil domain-containing protein 1; Functions as a coactivator for aryl hydrocarbon and nuclear receptors (NR). Recruited to promoters through its contact with the N- terminal basic helix-loop-helix-Per-Arnt-Sim (PAS) domain of transcription factors or coactivators, such as NCOA2. During ER- activation acts synergistically in combination with other NCOA2-binding proteins, such as EP300, CREBBP and CARM1. Involved in the transcriptional activation of target genes in the Wnt/CTNNB1 pathway. [PMID: 16189514]</w:t>
      </w:r>
    </w:p>
    <w:p>
      <w:pPr>
        <w:numPr>
          <w:ilvl w:val="0"/>
          <w:numId w:val="1004"/>
        </w:numPr>
        <w:pStyle w:val="Compact"/>
      </w:pPr>
      <w:r>
        <w:rPr>
          <w:bCs/>
          <w:b/>
        </w:rPr>
        <w:t xml:space="preserve">CCDC120</w:t>
      </w:r>
      <w:r>
        <w:t xml:space="preserve"> </w:t>
      </w:r>
      <w:r>
        <w:t xml:space="preserve">Coiled-coil domain-containing protein 120; Centriolar protein required for centriole subdistal appendage assembly and microtubule anchoring in interphase cells. Together with CCDC68, cooperate with subdistal appendage components ODF2, NIN and CEP170 for hierarchical subdistal appendage assembly. Recruits NIN and CEP170 to centrosomes. Also required for neurite growth. Localizes CYTH2 to vesicles to allow its transport along neurites, and subsequent ARF6 activation and neurite growth. [PMID: 32296183]</w:t>
      </w:r>
    </w:p>
    <w:p>
      <w:pPr>
        <w:numPr>
          <w:ilvl w:val="0"/>
          <w:numId w:val="1004"/>
        </w:numPr>
        <w:pStyle w:val="Compact"/>
      </w:pPr>
      <w:r>
        <w:rPr>
          <w:bCs/>
          <w:b/>
        </w:rPr>
        <w:t xml:space="preserve">CEBPA</w:t>
      </w:r>
      <w:r>
        <w:t xml:space="preserve"> </w:t>
      </w:r>
      <w:r>
        <w:t xml:space="preserve">CCAAT/enhancer-binding protein alpha; Transcription factor that coordinates proliferation arrest and the differentiation of myeloid progenitors, adipocytes, hepatocytes, and cells of the lung and the placenta. Binds directly to the consensus DNA sequence 5’-T[TG]NNGNAA[TG]-3’ acting as an activator on distinct target genes. During early embryogenesis, plays essential and redundant functions with CEBPB. Essential for the transition from common myeloid progenitors (CMP) to granulocyte/monocyte progenitors (GMP). [PMID: 23661758]</w:t>
      </w:r>
    </w:p>
    <w:p>
      <w:pPr>
        <w:numPr>
          <w:ilvl w:val="0"/>
          <w:numId w:val="1004"/>
        </w:numPr>
        <w:pStyle w:val="Compact"/>
      </w:pPr>
      <w:r>
        <w:rPr>
          <w:bCs/>
          <w:b/>
        </w:rPr>
        <w:t xml:space="preserve">CEBPE</w:t>
      </w:r>
      <w:r>
        <w:t xml:space="preserve"> </w:t>
      </w:r>
      <w:r>
        <w:t xml:space="preserve">CCAAT/enhancer-binding protein epsilon; Transcriptional activator. C/EBP are DNA- binding proteins that recognize two different motifs: the CCAAT homology common to many promoters and the enhanced core homology common to many enhancers. Required for the promyelocyte-myelocyte transition in myeloid differentiation. Belongs to the bZIP family. C/EBP subfamily. [PMID: 23661758]</w:t>
      </w:r>
    </w:p>
    <w:p>
      <w:pPr>
        <w:numPr>
          <w:ilvl w:val="0"/>
          <w:numId w:val="1004"/>
        </w:numPr>
        <w:pStyle w:val="Compact"/>
      </w:pPr>
      <w:r>
        <w:rPr>
          <w:bCs/>
          <w:b/>
        </w:rPr>
        <w:t xml:space="preserve">CEBPG</w:t>
      </w:r>
      <w:r>
        <w:t xml:space="preserve"> </w:t>
      </w:r>
      <w:r>
        <w:t xml:space="preserve">CCAAT/enhancer-binding protein gamma; Transcription factor that binds to the promoter and the enhancer regions of target genes. Binds to the enhancer element PRE-I (positive regulatory element-I) of the IL-4 gene. Binds to the promoter and the enhancer of the immunoglobulin heavy chain. Binds to GPE1, a cis-acting element in the G-CSF gene promoter. Belongs to the bZIP family. C/EBP subfamily. [PMID: 23661758]</w:t>
      </w:r>
    </w:p>
    <w:p>
      <w:pPr>
        <w:numPr>
          <w:ilvl w:val="0"/>
          <w:numId w:val="1004"/>
        </w:numPr>
        <w:pStyle w:val="Compact"/>
      </w:pPr>
      <w:r>
        <w:rPr>
          <w:bCs/>
          <w:b/>
        </w:rPr>
        <w:t xml:space="preserve">CHAT</w:t>
      </w:r>
      <w:r>
        <w:t xml:space="preserve"> </w:t>
      </w:r>
      <w:r>
        <w:t xml:space="preserve">Choline O-acetyltransferase; Catalyzes the reversible synthesis of acetylcholine (ACh) from acetyl CoA and choline at cholinergic synapses. Belongs to the carnitine/choline acetyltransferase family. [PMID: 32814053]</w:t>
      </w:r>
    </w:p>
    <w:p>
      <w:pPr>
        <w:numPr>
          <w:ilvl w:val="0"/>
          <w:numId w:val="1004"/>
        </w:numPr>
        <w:pStyle w:val="Compact"/>
      </w:pPr>
      <w:r>
        <w:rPr>
          <w:bCs/>
          <w:b/>
        </w:rPr>
        <w:t xml:space="preserve">CREBBP</w:t>
      </w:r>
      <w:r>
        <w:t xml:space="preserve"> </w:t>
      </w:r>
      <w:r>
        <w:t xml:space="preserve">CREB-binding protein; Acetylates histones, giving a specific tag for transcriptional activation. Also acetylates non- histone proteins, like DDX21, FBL, IRF2, MAFG, NCOA3, POLR1E/PAF53 and FOXO1. Binds specifically to phosphorylated CREB and enhances its transcriptional activity toward cAMP-responsive genes. Acts as a coactivator of ALX1. Acts as a circadian transcriptional coactivator which enhances the activity of the circadian transcriptional activators: NPAS2-ARNTL/BMAL1 and CLOCK-ARNTL/BMAL1 heterodimers. [PMID: 15025563]</w:t>
      </w:r>
    </w:p>
    <w:p>
      <w:pPr>
        <w:numPr>
          <w:ilvl w:val="0"/>
          <w:numId w:val="1004"/>
        </w:numPr>
        <w:pStyle w:val="Compact"/>
      </w:pPr>
      <w:r>
        <w:rPr>
          <w:bCs/>
          <w:b/>
        </w:rPr>
        <w:t xml:space="preserve">DDIT3</w:t>
      </w:r>
      <w:r>
        <w:t xml:space="preserve"> </w:t>
      </w:r>
      <w:r>
        <w:t xml:space="preserve">DDIT3 upstream open reading frame protein. [PMID: 23661758]</w:t>
      </w:r>
    </w:p>
    <w:p>
      <w:pPr>
        <w:numPr>
          <w:ilvl w:val="0"/>
          <w:numId w:val="1004"/>
        </w:numPr>
        <w:pStyle w:val="Compact"/>
      </w:pPr>
      <w:r>
        <w:rPr>
          <w:bCs/>
          <w:b/>
        </w:rPr>
        <w:t xml:space="preserve">DDIT3</w:t>
      </w:r>
      <w:r>
        <w:t xml:space="preserve"> </w:t>
      </w:r>
      <w:r>
        <w:t xml:space="preserve">DNA damage-inducible transcript 3 protein; Multifunctional transcription factor in ER stress response. Plays an essential role in the response to a wide variety of cell stresses and induces cell cycle arrest and apoptosis in response to ER stress. Plays a dual role both as an inhibitor of CCAAT/enhancer- binding protein (C/EBP) function and as an activator of other genes. [PMID: 23661758]</w:t>
      </w:r>
    </w:p>
    <w:p>
      <w:pPr>
        <w:numPr>
          <w:ilvl w:val="0"/>
          <w:numId w:val="1004"/>
        </w:numPr>
        <w:pStyle w:val="Compact"/>
      </w:pPr>
      <w:r>
        <w:rPr>
          <w:bCs/>
          <w:b/>
        </w:rPr>
        <w:t xml:space="preserve">DNMT3L</w:t>
      </w:r>
      <w:r>
        <w:t xml:space="preserve"> </w:t>
      </w:r>
      <w:r>
        <w:t xml:space="preserve">DNA (cytosine-5)-methyltransferase 3-like; Catalytically inactive regulatory factor of DNA methyltransferases that can either promote or inhibit DNA methylation depending on the context (By similarity). Essential for the function of DNMT3A and DNMT3B: activates DNMT3A and DNMT3B by binding to their catalytic domain. Acts by accelerating the binding of DNA and S-adenosyl-L-methionine (AdoMet) to the methyltransferases and dissociates from the complex after DNA binding to the methyltransferases. [PMID: 24952347]</w:t>
      </w:r>
    </w:p>
    <w:p>
      <w:pPr>
        <w:numPr>
          <w:ilvl w:val="0"/>
          <w:numId w:val="1004"/>
        </w:numPr>
        <w:pStyle w:val="Compact"/>
      </w:pPr>
      <w:r>
        <w:rPr>
          <w:bCs/>
          <w:b/>
        </w:rPr>
        <w:t xml:space="preserve">ELF1</w:t>
      </w:r>
      <w:r>
        <w:t xml:space="preserve"> </w:t>
      </w:r>
      <w:r>
        <w:t xml:space="preserve">ETS-related transcription factor Elf-1; Transcription factor that activates the LYN and BLK promoters. Appears to be required for the T-cell-receptor-mediated trans activation of HIV-2 gene expression. Binds specifically to two purine-rich motifs in the HIV-2 enhancer; Belongs to the ETS family. [PMID: 7648395]</w:t>
      </w:r>
    </w:p>
    <w:p>
      <w:pPr>
        <w:numPr>
          <w:ilvl w:val="0"/>
          <w:numId w:val="1004"/>
        </w:numPr>
        <w:pStyle w:val="Compact"/>
      </w:pPr>
      <w:r>
        <w:rPr>
          <w:bCs/>
          <w:b/>
        </w:rPr>
        <w:t xml:space="preserve">ERCC6</w:t>
      </w:r>
      <w:r>
        <w:t xml:space="preserve"> </w:t>
      </w:r>
      <w:r>
        <w:t xml:space="preserve">DNA excision repair protein ERCC-6; Essential factor involved in transcription-coupled nucleotide excision repair which allows RNA polymerase II-blocking lesions to be rapidly removed from the transcribed strand of active genes. Upon DNA-binding, it locally modifies DNA conformation by wrapping the DNA around itself, thereby modifying the interface between stalled RNA polymerase II and DNA. It is required for transcription-coupled repair complex formation. [PMID: 31722399]</w:t>
      </w:r>
    </w:p>
    <w:p>
      <w:pPr>
        <w:numPr>
          <w:ilvl w:val="0"/>
          <w:numId w:val="1004"/>
        </w:numPr>
        <w:pStyle w:val="Compact"/>
      </w:pPr>
      <w:r>
        <w:rPr>
          <w:bCs/>
          <w:b/>
        </w:rPr>
        <w:t xml:space="preserve">ERCC6</w:t>
      </w:r>
      <w:r>
        <w:t xml:space="preserve"> </w:t>
      </w:r>
      <w:r>
        <w:t xml:space="preserve">DNA excision repair protein ERCC-6; Essential factor involved in transcription-coupled nucleotide excision repair which allows RNA polymerase II-blocking lesions to be rapidly removed from the transcribed strand of active genes. Upon DNA-binding, it locally modifies DNA conformation by wrapping the DNA around itself, thereby modifying the interface between stalled RNA polymerase II and DNA. It is required for transcription-coupled repair complex formation. [PMID: 31722399]</w:t>
      </w:r>
    </w:p>
    <w:p>
      <w:pPr>
        <w:numPr>
          <w:ilvl w:val="0"/>
          <w:numId w:val="1004"/>
        </w:numPr>
        <w:pStyle w:val="Compact"/>
      </w:pPr>
      <w:r>
        <w:rPr>
          <w:bCs/>
          <w:b/>
        </w:rPr>
        <w:t xml:space="preserve">FGFR3</w:t>
      </w:r>
      <w:r>
        <w:t xml:space="preserve"> </w:t>
      </w:r>
      <w:r>
        <w:t xml:space="preserve">Fibroblast growth factor receptor 3; Tyrosine-protein kinase that acts as cell-surface receptor for fibroblast growth factors and plays an essential role in the regulation of cell proliferation, differentiation and apoptosis. Plays an essential role in the regulation of chondrocyte differentiation, proliferation and apoptosis, and is required for normal skeleton development. Regulates both osteogenesis and postnatal bone mineralization by osteoblasts. Promotes apoptosis in chondrocytes, but can also promote cancer cell proliferation. Required for normal development of the inner ear. [PMID: 32814053]</w:t>
      </w:r>
    </w:p>
    <w:p>
      <w:pPr>
        <w:numPr>
          <w:ilvl w:val="0"/>
          <w:numId w:val="1004"/>
        </w:numPr>
        <w:pStyle w:val="Compact"/>
      </w:pPr>
      <w:r>
        <w:rPr>
          <w:bCs/>
          <w:b/>
        </w:rPr>
        <w:t xml:space="preserve">FKBP1A</w:t>
      </w:r>
      <w:r>
        <w:t xml:space="preserve"> </w:t>
      </w:r>
      <w:r>
        <w:t xml:space="preserve">Peptidyl-prolyl cis-trans isomerase FKBP1A; Keeps in an inactive conformation TGFBR1, the TGF-beta type I serine/threonine kinase receptor, preventing TGF-beta receptor activation in absence of ligand. Recruits SMAD7 to ACVR1B which prevents the association of SMAD2 and SMAD3 with the activin receptor complex, thereby blocking the activin signal. May modulate the RYR1 calcium channel activity. PPIases accelerate the folding of proteins. It catalyzes the cis-trans isomerization of proline imidic peptide bonds in oligopeptides. Belongs to the FKBP-type PPIase family. FKBP1 subfamily. [PMID: 32814053]</w:t>
      </w:r>
    </w:p>
    <w:p>
      <w:pPr>
        <w:numPr>
          <w:ilvl w:val="0"/>
          <w:numId w:val="1004"/>
        </w:numPr>
        <w:pStyle w:val="Compact"/>
      </w:pPr>
      <w:r>
        <w:rPr>
          <w:bCs/>
          <w:b/>
        </w:rPr>
        <w:t xml:space="preserve">GCC1</w:t>
      </w:r>
      <w:r>
        <w:t xml:space="preserve"> </w:t>
      </w:r>
      <w:r>
        <w:t xml:space="preserve">GRIP and coiled-coil domain-containing protein 1; Probably involved in maintaining Golgi structure. [PMID: 32296183]</w:t>
      </w:r>
    </w:p>
    <w:p>
      <w:pPr>
        <w:numPr>
          <w:ilvl w:val="0"/>
          <w:numId w:val="1004"/>
        </w:numPr>
        <w:pStyle w:val="Compact"/>
      </w:pPr>
      <w:r>
        <w:rPr>
          <w:bCs/>
          <w:b/>
        </w:rPr>
        <w:t xml:space="preserve">GRIN2C</w:t>
      </w:r>
      <w:r>
        <w:t xml:space="preserve"> </w:t>
      </w:r>
      <w:r>
        <w:t xml:space="preserve">Glutamate receptor ionotropic, NMDA 2C; Component of NMDA receptor complexes that function as heterotetrameric, ligand-gated ion channels with high calcium permeability and voltage-dependent sensitivity to magnesium. Channel activation requires binding of the neurotransmitter glutamate to the epsilon subunit, glycine binding to the zeta subunit, plus membrane depolarization to eliminate channel inhibition by Mg(2+). Sensitivity to glutamate and channel kinetics depend on the subunit composition (Probable). [PMID: 32814053]</w:t>
      </w:r>
    </w:p>
    <w:p>
      <w:pPr>
        <w:numPr>
          <w:ilvl w:val="0"/>
          <w:numId w:val="1004"/>
        </w:numPr>
        <w:pStyle w:val="Compact"/>
      </w:pPr>
      <w:r>
        <w:rPr>
          <w:bCs/>
          <w:b/>
        </w:rPr>
        <w:t xml:space="preserve">GSN</w:t>
      </w:r>
      <w:r>
        <w:t xml:space="preserve"> </w:t>
      </w:r>
      <w:r>
        <w:t xml:space="preserve">Gelsolin; Calcium-regulated, actin-modulating protein that binds to the plus (or barbed) ends of actin monomers or filaments, preventing monomer exchange (end-blocking or capping). It can promote the assembly of monomers into filaments (nucleation) as well as sever filaments already formed. Plays a role in ciliogenesis. [PMID: 32814053]</w:t>
      </w:r>
    </w:p>
    <w:p>
      <w:pPr>
        <w:numPr>
          <w:ilvl w:val="0"/>
          <w:numId w:val="1004"/>
        </w:numPr>
        <w:pStyle w:val="Compact"/>
      </w:pPr>
      <w:r>
        <w:rPr>
          <w:bCs/>
          <w:b/>
        </w:rPr>
        <w:t xml:space="preserve">H4C3</w:t>
      </w:r>
      <w:r>
        <w:t xml:space="preserve"> </w:t>
      </w:r>
      <w:r>
        <w:t xml:space="preserve">Histone H4; Core component of nucleosome.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post-translational modifications of histones, also called histone code, and nucleosome remodeling. [PMID: 30804502]</w:t>
      </w:r>
    </w:p>
    <w:p>
      <w:pPr>
        <w:numPr>
          <w:ilvl w:val="0"/>
          <w:numId w:val="1004"/>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15615716]</w:t>
      </w:r>
    </w:p>
    <w:p>
      <w:pPr>
        <w:numPr>
          <w:ilvl w:val="0"/>
          <w:numId w:val="1004"/>
        </w:numPr>
        <w:pStyle w:val="Compact"/>
      </w:pPr>
      <w:r>
        <w:rPr>
          <w:bCs/>
          <w:b/>
        </w:rPr>
        <w:t xml:space="preserve">XPA</w:t>
      </w:r>
      <w:r>
        <w:t xml:space="preserve"> </w:t>
      </w:r>
      <w:r>
        <w:t xml:space="preserve">DNA repair protein complementing XP-A cells; Involved in DNA excision repair. Initiates repair by binding to damaged sites with various affinities, depending on the photoproduct and the transcriptional state of the region. Required for UV-induced CHEK1 phosphorylation and the recruitment of CEP164 to cyclobutane pyrimidine dimmers (CPD), sites of DNA damage after UV irradiation. Belongs to the XPA family. [PMID: 7876167]</w:t>
      </w:r>
    </w:p>
    <w:bookmarkEnd w:id="26"/>
    <w:bookmarkStart w:id="31" w:name="interactions-with-text-mining-support"/>
    <w:p>
      <w:pPr>
        <w:pStyle w:val="Heading2"/>
      </w:pPr>
      <w:r>
        <w:t xml:space="preserve">Interactions with text mining support</w:t>
      </w:r>
    </w:p>
    <w:p>
      <w:pPr>
        <w:numPr>
          <w:ilvl w:val="0"/>
          <w:numId w:val="1005"/>
        </w:numPr>
        <w:pStyle w:val="Compact"/>
      </w:pPr>
      <w:r>
        <w:rPr>
          <w:bCs/>
          <w:b/>
        </w:rPr>
        <w:t xml:space="preserve">FOSB</w:t>
      </w:r>
      <w:r>
        <w:t xml:space="preserve"> </w:t>
      </w:r>
      <w:r>
        <w:t xml:space="preserve">Protein fosB; FosB interacts with Jun proteins enhancing their DNA binding activity. [</w:t>
      </w:r>
      <w:hyperlink r:id="rId27">
        <w:r>
          <w:rPr>
            <w:rStyle w:val="Hyperlink"/>
          </w:rPr>
          <w:t xml:space="preserve">https://string-db.org/newstring_cgi/show_edge_details.pl?identifiers=9606.ENSP00000310170 9606.ENSP00000245919</w:t>
        </w:r>
      </w:hyperlink>
      <w:r>
        <w:t xml:space="preserve">]</w:t>
      </w:r>
    </w:p>
    <w:p>
      <w:pPr>
        <w:numPr>
          <w:ilvl w:val="0"/>
          <w:numId w:val="1005"/>
        </w:numPr>
        <w:pStyle w:val="Compact"/>
      </w:pPr>
      <w:r>
        <w:rPr>
          <w:bCs/>
          <w:b/>
        </w:rPr>
        <w:t xml:space="preserve">FOSL2</w:t>
      </w:r>
      <w:r>
        <w:t xml:space="preserve"> </w:t>
      </w:r>
      <w:r>
        <w:t xml:space="preserve">Fos-related antigen 2; Controls osteoclast survival and size. As a dimer with JUN, activates LIF transcription. Activates CEBPB transcription in PGE2- activated osteoblasts. [</w:t>
      </w:r>
      <w:hyperlink r:id="rId28">
        <w:r>
          <w:rPr>
            <w:rStyle w:val="Hyperlink"/>
          </w:rPr>
          <w:t xml:space="preserve">https://string-db.org/newstring_cgi/show_edge_details.pl?identifiers=9606.ENSP00000310170 9606.ENSP00000264716</w:t>
        </w:r>
      </w:hyperlink>
      <w:r>
        <w:t xml:space="preserve">]</w:t>
      </w:r>
    </w:p>
    <w:p>
      <w:pPr>
        <w:numPr>
          <w:ilvl w:val="0"/>
          <w:numId w:val="1005"/>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w:t>
      </w:r>
      <w:hyperlink r:id="rId29">
        <w:r>
          <w:rPr>
            <w:rStyle w:val="Hyperlink"/>
          </w:rPr>
          <w:t xml:space="preserve">https://string-db.org/newstring_cgi/show_edge_details.pl?identifiers=9606.ENSP00000310170 9606.ENSP00000306245</w:t>
        </w:r>
      </w:hyperlink>
      <w:r>
        <w:t xml:space="preserve">]</w:t>
      </w:r>
    </w:p>
    <w:p>
      <w:pPr>
        <w:numPr>
          <w:ilvl w:val="0"/>
          <w:numId w:val="1005"/>
        </w:numPr>
        <w:pStyle w:val="Compact"/>
      </w:pPr>
      <w:r>
        <w:rPr>
          <w:bCs/>
          <w:b/>
        </w:rPr>
        <w:t xml:space="preserve">RELA</w:t>
      </w:r>
      <w:r>
        <w:t xml:space="preserve"> </w:t>
      </w:r>
      <w:r>
        <w:t xml:space="preserve">Transcription factor p65; NF-kappa-B is a pleiotropic transcription factor present in almost all cell types and is the endpoint of a series of signal transduction events that are initiated by a vast array of stimuli related to many biological processes such as inflammation, immunity, differentiation, cell growth, tumorigenesis and apoptosis. NF-kappa-B is a homo- or heterodimeric complex formed by the Rel-like domain- containing proteins RELA/p65, RELB, NFKB1/p105, NFKB1/p50, REL and NFKB2/p52. The heterodimeric RELA-NFKB1 complex appears to be most abundant one. [</w:t>
      </w:r>
      <w:hyperlink r:id="rId30">
        <w:r>
          <w:rPr>
            <w:rStyle w:val="Hyperlink"/>
          </w:rPr>
          <w:t xml:space="preserve">https://string-db.org/newstring_cgi/show_edge_details.pl?identifiers=9606.ENSP00000310170 9606.ENSP00000384273</w:t>
        </w:r>
      </w:hyperlink>
      <w:r>
        <w:t xml:space="preserve">]</w:t>
      </w:r>
    </w:p>
    <w:bookmarkEnd w:id="31"/>
    <w:bookmarkEnd w:id="32"/>
    <w:bookmarkStart w:id="4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https://www.genecards.org/cgi-bin/carddisp.pl?gene=FOSL1</w:t>
        </w:r>
      </w:hyperlink>
    </w:p>
    <w:p>
      <w:pPr>
        <w:numPr>
          <w:ilvl w:val="0"/>
          <w:numId w:val="1006"/>
        </w:numPr>
        <w:pStyle w:val="Compact"/>
      </w:pPr>
      <w:r>
        <w:t xml:space="preserve">Harmonizome (human):</w:t>
      </w:r>
      <w:r>
        <w:t xml:space="preserve"> </w:t>
      </w:r>
      <w:hyperlink r:id="rId33">
        <w:r>
          <w:rPr>
            <w:rStyle w:val="Hyperlink"/>
          </w:rPr>
          <w:t xml:space="preserve">https://maayanlab.cloud/Harmonizome/gene/FOSL1</w:t>
        </w:r>
      </w:hyperlink>
    </w:p>
    <w:p>
      <w:pPr>
        <w:numPr>
          <w:ilvl w:val="0"/>
          <w:numId w:val="1006"/>
        </w:numPr>
        <w:pStyle w:val="Compact"/>
      </w:pPr>
      <w:r>
        <w:t xml:space="preserve">NCBI (human):</w:t>
      </w:r>
      <w:r>
        <w:t xml:space="preserve"> </w:t>
      </w:r>
      <w:hyperlink r:id="rId34">
        <w:r>
          <w:rPr>
            <w:rStyle w:val="Hyperlink"/>
          </w:rPr>
          <w:t xml:space="preserve">https://www.ncbi.nlm.nih.gov/gene/8061</w:t>
        </w:r>
      </w:hyperlink>
    </w:p>
    <w:p>
      <w:pPr>
        <w:numPr>
          <w:ilvl w:val="0"/>
          <w:numId w:val="1006"/>
        </w:numPr>
        <w:pStyle w:val="Compact"/>
      </w:pPr>
      <w:r>
        <w:t xml:space="preserve">NCBI (rat):</w:t>
      </w:r>
      <w:r>
        <w:t xml:space="preserve"> </w:t>
      </w:r>
      <w:hyperlink r:id="rId35">
        <w:r>
          <w:rPr>
            <w:rStyle w:val="Hyperlink"/>
          </w:rPr>
          <w:t xml:space="preserve">https://www.ncbi.nlm.nih.gov/gene/25445</w:t>
        </w:r>
      </w:hyperlink>
    </w:p>
    <w:p>
      <w:pPr>
        <w:numPr>
          <w:ilvl w:val="0"/>
          <w:numId w:val="1006"/>
        </w:numPr>
        <w:pStyle w:val="Compact"/>
      </w:pPr>
      <w:r>
        <w:t xml:space="preserve">Ensemble (human):</w:t>
      </w:r>
      <w:r>
        <w:t xml:space="preserve"> </w:t>
      </w:r>
      <w:hyperlink r:id="rId36">
        <w:r>
          <w:rPr>
            <w:rStyle w:val="Hyperlink"/>
          </w:rPr>
          <w:t xml:space="preserve">https://useast.ensembl.org/Homo_sapiens/Gene/Summary?g=ENSG00000175592</w:t>
        </w:r>
      </w:hyperlink>
    </w:p>
    <w:p>
      <w:pPr>
        <w:numPr>
          <w:ilvl w:val="0"/>
          <w:numId w:val="1006"/>
        </w:numPr>
        <w:pStyle w:val="Compact"/>
      </w:pPr>
      <w:r>
        <w:t xml:space="preserve">Ensemble (rat):</w:t>
      </w:r>
      <w:r>
        <w:t xml:space="preserve"> </w:t>
      </w:r>
      <w:hyperlink r:id="rId37">
        <w:r>
          <w:rPr>
            <w:rStyle w:val="Hyperlink"/>
          </w:rPr>
          <w:t xml:space="preserve">https://useast.ensembl.org/Rattus_norvegicus/Gene/Summary?g=ENSRNOG00000020552</w:t>
        </w:r>
      </w:hyperlink>
    </w:p>
    <w:p>
      <w:pPr>
        <w:numPr>
          <w:ilvl w:val="0"/>
          <w:numId w:val="1006"/>
        </w:numPr>
        <w:pStyle w:val="Compact"/>
      </w:pPr>
      <w:r>
        <w:t xml:space="preserve">Rat Genome Database (rat):</w:t>
      </w:r>
      <w:r>
        <w:t xml:space="preserve"> </w:t>
      </w:r>
      <w:hyperlink r:id="rId38">
        <w:r>
          <w:rPr>
            <w:rStyle w:val="Hyperlink"/>
          </w:rPr>
          <w:t xml:space="preserve">https://rgd.mcw.edu/rgdweb/report/gene/main.html?id=2627</w:t>
        </w:r>
      </w:hyperlink>
    </w:p>
    <w:p>
      <w:pPr>
        <w:numPr>
          <w:ilvl w:val="0"/>
          <w:numId w:val="1006"/>
        </w:numPr>
        <w:pStyle w:val="Compact"/>
      </w:pPr>
      <w:r>
        <w:t xml:space="preserve">Uniprot (human):</w:t>
      </w:r>
      <w:r>
        <w:t xml:space="preserve"> </w:t>
      </w:r>
      <w:hyperlink r:id="rId39">
        <w:r>
          <w:rPr>
            <w:rStyle w:val="Hyperlink"/>
          </w:rPr>
          <w:t xml:space="preserve">https://www.uniprot.org/uniprotkb/P15407</w:t>
        </w:r>
      </w:hyperlink>
    </w:p>
    <w:p>
      <w:pPr>
        <w:numPr>
          <w:ilvl w:val="0"/>
          <w:numId w:val="1006"/>
        </w:numPr>
        <w:pStyle w:val="Compact"/>
      </w:pPr>
      <w:r>
        <w:t xml:space="preserve">Uniprot (rat):</w:t>
      </w:r>
      <w:r>
        <w:t xml:space="preserve"> </w:t>
      </w:r>
      <w:hyperlink r:id="rId40">
        <w:r>
          <w:rPr>
            <w:rStyle w:val="Hyperlink"/>
          </w:rPr>
          <w:t xml:space="preserve">https://www.uniprot.org/uniprotkb/P10158</w:t>
        </w:r>
      </w:hyperlink>
    </w:p>
    <w:p>
      <w:pPr>
        <w:numPr>
          <w:ilvl w:val="0"/>
          <w:numId w:val="1006"/>
        </w:numPr>
        <w:pStyle w:val="Compact"/>
      </w:pPr>
      <w:r>
        <w:t xml:space="preserve">Wikigenes (human):</w:t>
      </w:r>
      <w:r>
        <w:t xml:space="preserve"> </w:t>
      </w:r>
      <w:hyperlink r:id="rId41">
        <w:r>
          <w:rPr>
            <w:rStyle w:val="Hyperlink"/>
          </w:rPr>
          <w:t xml:space="preserve">https://www.wikigenes.org/e/gene/e/8061.html</w:t>
        </w:r>
      </w:hyperlink>
    </w:p>
    <w:p>
      <w:pPr>
        <w:numPr>
          <w:ilvl w:val="0"/>
          <w:numId w:val="1006"/>
        </w:numPr>
        <w:pStyle w:val="Compact"/>
      </w:pPr>
      <w:r>
        <w:t xml:space="preserve">Wikigenes (rat):</w:t>
      </w:r>
      <w:r>
        <w:t xml:space="preserve"> </w:t>
      </w:r>
      <w:hyperlink r:id="rId42">
        <w:r>
          <w:rPr>
            <w:rStyle w:val="Hyperlink"/>
          </w:rPr>
          <w:t xml:space="preserve">https://www.wikigenes.org/e/gene/e/25445.html</w:t>
        </w:r>
      </w:hyperlink>
    </w:p>
    <w:p>
      <w:pPr>
        <w:numPr>
          <w:ilvl w:val="0"/>
          <w:numId w:val="1006"/>
        </w:numPr>
        <w:pStyle w:val="Compact"/>
      </w:pPr>
      <w:r>
        <w:t xml:space="preserve">Alphafold (human):</w:t>
      </w:r>
      <w:r>
        <w:t xml:space="preserve"> </w:t>
      </w:r>
      <w:hyperlink r:id="rId43">
        <w:r>
          <w:rPr>
            <w:rStyle w:val="Hyperlink"/>
          </w:rPr>
          <w:t xml:space="preserve">https://alphafold.ebi.ac.uk/entry/P15407</w:t>
        </w:r>
      </w:hyperlink>
    </w:p>
    <w:p>
      <w:pPr>
        <w:numPr>
          <w:ilvl w:val="0"/>
          <w:numId w:val="1006"/>
        </w:numPr>
        <w:pStyle w:val="Compact"/>
      </w:pPr>
      <w:r>
        <w:t xml:space="preserve">Alphafold (rat):</w:t>
      </w:r>
      <w:r>
        <w:t xml:space="preserve"> </w:t>
      </w:r>
      <w:hyperlink r:id="rId44">
        <w:r>
          <w:rPr>
            <w:rStyle w:val="Hyperlink"/>
          </w:rPr>
          <w:t xml:space="preserve">https://alphafold.ebi.ac.uk/entry/P10158</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5"/>
    <w:bookmarkStart w:id="56" w:name="X7887dc63a354b4d974b09bbc1761dfdcf7e455e"/>
    <w:p>
      <w:pPr>
        <w:pStyle w:val="Heading1"/>
      </w:pPr>
      <w:r>
        <w:t xml:space="preserve">6. GO Terms, MSigDB Signatures, Pathways Containing Gene with Descriptions of Gene Sets</w:t>
      </w:r>
    </w:p>
    <w:bookmarkStart w:id="47" w:name="pathways"/>
    <w:p>
      <w:pPr>
        <w:pStyle w:val="Heading2"/>
      </w:pPr>
      <w:r>
        <w:t xml:space="preserve">Pathways:</w:t>
      </w:r>
    </w:p>
    <w:p>
      <w:pPr>
        <w:pStyle w:val="FirstParagraph"/>
      </w:pPr>
      <w:r>
        <w:rPr>
          <w:bCs/>
          <w:b/>
        </w:rPr>
        <w:t xml:space="preserve">NGF-stimulated transcription</w:t>
      </w:r>
      <w:r>
        <w:t xml:space="preserve">: NGF stimulation induces expression of a wide array of transcriptional targets. In rat PC12 cells, a common model for NGF signaling, stimulation with NGF causes cells to exit the cell cycle and undergo a differentiation program leading to neurite outgrowth. This program is driven by the expression of immediate early genes (IEGs), which frequently encode transcription factors regulating the activity of NGF-specific delayed response genes (reviewed in Sheng and Greenberg, 1990; Flavell and Grennberg, 2008; Santiago and Bashaw, 2014).</w:t>
      </w:r>
      <w:r>
        <w:t xml:space="preserve"> </w:t>
      </w:r>
      <w:hyperlink r:id="rId46">
        <w:r>
          <w:rPr>
            <w:rStyle w:val="Hyperlink"/>
          </w:rPr>
          <w:t xml:space="preserve">[https://reactome.org/PathwayBrowser/#/R-HSA-9031628]</w:t>
        </w:r>
      </w:hyperlink>
    </w:p>
    <w:p>
      <w:pPr>
        <w:pStyle w:val="BodyText"/>
      </w:pPr>
      <w:r>
        <w:rPr>
          <w:bCs/>
          <w:b/>
        </w:rPr>
        <w:t xml:space="preserve">NGF-stimulated transcription</w:t>
      </w:r>
      <w:r>
        <w:t xml:space="preserve">: NGF stimulation induces expression of a wide array of transcriptional targets. In rat PC12 cells, a common model for NGF signaling, stimulation with NGF causes cells to exit the cell cycle and undergo a differentiation program leading to neurite outgrowth. This program is driven by the expression of immediate early genes (IEGs), which frequently encode transcription factors regulating the activity of NGF-specific delayed response genes (reviewed in Sheng and Greenberg, 1990; Flavell and Grennberg, 2008; Santiago and Bashaw, 2014).</w:t>
      </w:r>
      <w:r>
        <w:t xml:space="preserve"> </w:t>
      </w:r>
      <w:hyperlink r:id="rId46">
        <w:r>
          <w:rPr>
            <w:rStyle w:val="Hyperlink"/>
          </w:rPr>
          <w:t xml:space="preserve">[https://reactome.org/PathwayBrowser/#/R-HSA-9031628]</w:t>
        </w:r>
      </w:hyperlink>
    </w:p>
    <w:bookmarkEnd w:id="47"/>
    <w:bookmarkStart w:id="48" w:name="go-terms"/>
    <w:p>
      <w:pPr>
        <w:pStyle w:val="Heading2"/>
      </w:pPr>
      <w:r>
        <w:t xml:space="preserve">GO terms:</w:t>
      </w:r>
    </w:p>
    <w:p>
      <w:pPr>
        <w:pStyle w:val="FirstParagraph"/>
      </w:pPr>
      <w:r>
        <w:rPr>
          <w:bCs/>
          <w:b/>
        </w:rPr>
        <w:t xml:space="preserve">cytokine-mediated signaling pathway</w:t>
      </w:r>
      <w:r>
        <w:t xml:space="preserve"> </w:t>
      </w:r>
      <w:r>
        <w:t xml:space="preserve">[The series of molecular signals initiated by the binding of a cytokine to a receptor on the surface of a cell, and ending with the regulation of a downstream cellular process, e.g. transcription. GO:0019221]</w:t>
      </w:r>
    </w:p>
    <w:p>
      <w:pPr>
        <w:pStyle w:val="BodyText"/>
      </w:pPr>
      <w:r>
        <w:rPr>
          <w:bCs/>
          <w:b/>
        </w:rPr>
        <w:t xml:space="preserve">female pregnancy</w:t>
      </w:r>
      <w:r>
        <w:t xml:space="preserve"> </w:t>
      </w:r>
      <w:r>
        <w:t xml:space="preserve">[The set of physiological processes that allow an embryo or foetus to develop within the body of a female animal. It covers the time from fertilization of a female ovum by a male spermatozoon until birth. GO:0007565]</w:t>
      </w:r>
    </w:p>
    <w:p>
      <w:pPr>
        <w:pStyle w:val="BodyText"/>
      </w:pPr>
      <w:r>
        <w:rPr>
          <w:bCs/>
          <w:b/>
        </w:rPr>
        <w:t xml:space="preserve">gene expression</w:t>
      </w:r>
      <w:r>
        <w:t xml:space="preserve"> </w:t>
      </w:r>
      <w:r>
        <w:t xml:space="preserve">[The process in which a gene’s sequence is converted into a mature gene product (protein or RNA). This includes the production of an RNA transcript and its processing, as well as translation and maturation for protein-coding genes. GO:0010467]</w:t>
      </w:r>
    </w:p>
    <w:p>
      <w:pPr>
        <w:pStyle w:val="BodyText"/>
      </w:pPr>
      <w:r>
        <w:rPr>
          <w:bCs/>
          <w:b/>
        </w:rPr>
        <w:t xml:space="preserve">in utero embryonic development</w:t>
      </w:r>
      <w:r>
        <w:t xml:space="preserve"> </w:t>
      </w:r>
      <w:r>
        <w:t xml:space="preserve">[The process whose specific outcome is the progression of the embryo in the uterus over time, from formation of the zygote in the oviduct, to birth. An example of this process is found in Mus musculus. GO:0001701]</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learning</w:t>
      </w:r>
      <w:r>
        <w:t xml:space="preserve"> </w:t>
      </w:r>
      <w:r>
        <w:t xml:space="preserve">[Any process in an organism in which a relatively long-lasting adaptive behavioral change occurs as the result of experience. GO:0007612]</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placenta blood vessel development</w:t>
      </w:r>
      <w:r>
        <w:t xml:space="preserve"> </w:t>
      </w:r>
      <w:r>
        <w:t xml:space="preserve">[The process whose specific outcome is the progression of a blood vessel of the placenta over time, from its formation to the mature structure. GO:0060674]</w:t>
      </w:r>
    </w:p>
    <w:p>
      <w:pPr>
        <w:pStyle w:val="BodyText"/>
      </w:pPr>
      <w:r>
        <w:rPr>
          <w:bCs/>
          <w:b/>
        </w:rPr>
        <w:t xml:space="preserve">positive regulation of DNA-binding transcription factor activity</w:t>
      </w:r>
      <w:r>
        <w:t xml:space="preserve"> </w:t>
      </w:r>
      <w:r>
        <w:t xml:space="preserve">[Any process that activates or increases the frequency, rate or extent of activity of a transcription factor, any factor involved in the initiation or regulation of transcription. GO:0051091]</w:t>
      </w:r>
    </w:p>
    <w:p>
      <w:pPr>
        <w:pStyle w:val="BodyText"/>
      </w:pPr>
      <w:r>
        <w:rPr>
          <w:bCs/>
          <w:b/>
        </w:rPr>
        <w:t xml:space="preserve">positive regulation of DNA-templated transcription initiation</w:t>
      </w:r>
      <w:r>
        <w:t xml:space="preserve"> </w:t>
      </w:r>
      <w:r>
        <w:t xml:space="preserve">[Any process that activates or increases the frequency, rate or extent of DNA-templated transcription initiation. GO:2000144]</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cell cycle</w:t>
      </w:r>
      <w:r>
        <w:t xml:space="preserve"> </w:t>
      </w:r>
      <w:r>
        <w:t xml:space="preserve">[Any process that activates or increases the rate or extent of progression through the cell cycle. GO:0045787]</w:t>
      </w:r>
    </w:p>
    <w:p>
      <w:pPr>
        <w:pStyle w:val="BodyText"/>
      </w:pPr>
      <w:r>
        <w:rPr>
          <w:bCs/>
          <w:b/>
        </w:rPr>
        <w:t xml:space="preserve">positive regulation of miRNA transcription</w:t>
      </w:r>
      <w:r>
        <w:t xml:space="preserve"> </w:t>
      </w:r>
      <w:r>
        <w:t xml:space="preserve">[Any process that activates or increases the frequency, rate or extent of microRNA (miRNA) gene transcription. GO:1902895]</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cAMP</w:t>
      </w:r>
      <w:r>
        <w:t xml:space="preserve"> </w:t>
      </w:r>
      <w:r>
        <w:t xml:space="preserve">[Any process that results in a change in state or activity of a cell or an organism (in terms of movement, secretion, enzyme production, gene expression, etc.) as a result of a cAMP (cyclic AMP, adenosine 3’,5’-cyclophosphate) stimulus. GO:0051591]</w:t>
      </w:r>
    </w:p>
    <w:p>
      <w:pPr>
        <w:pStyle w:val="BodyText"/>
      </w:pPr>
      <w:r>
        <w:rPr>
          <w:bCs/>
          <w:b/>
        </w:rPr>
        <w:t xml:space="preserve">response to corticosterone</w:t>
      </w:r>
      <w:r>
        <w:t xml:space="preserve"> </w:t>
      </w:r>
      <w:r>
        <w:t xml:space="preserve">[Any process that results in a change in state or activity of a cell or an organism (in terms of movement, secretion, enzyme production, gene expression, etc.) as a result of a corticosterone stimulus. Corticosterone is a 21 carbon steroid hormone of the corticosteroid type, produced in the cortex of the adrenal glands. In many species, corticosterone is the principal glucocorticoid, involved in regulation of fuel metabolism, immune reactions, and stress responses. GO:0051412]</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forskolin</w:t>
      </w:r>
      <w:r>
        <w:t xml:space="preserve"> </w:t>
      </w:r>
      <w:r>
        <w:t xml:space="preserve">[Any process that results in a change in state or activity of a cell or an organism (in terms of movement, secretion, enzyme production, gene expression, etc.) as a result of a forskolin stimulus. GO:1904321]</w:t>
      </w:r>
    </w:p>
    <w:p>
      <w:pPr>
        <w:pStyle w:val="BodyText"/>
      </w:pPr>
      <w:r>
        <w:rPr>
          <w:bCs/>
          <w:b/>
        </w:rPr>
        <w:t xml:space="preserve">response to gravity</w:t>
      </w:r>
      <w:r>
        <w:t xml:space="preserve"> </w:t>
      </w:r>
      <w:r>
        <w:t xml:space="preserve">[Any process that results in a change in state or activity of a cell or an organism (in terms of movement, secretion, enzyme production, gene expression, etc.) as a result of a gravitational stimulus. GO:0009629]</w:t>
      </w:r>
    </w:p>
    <w:p>
      <w:pPr>
        <w:pStyle w:val="BodyText"/>
      </w:pPr>
      <w:r>
        <w:rPr>
          <w:bCs/>
          <w:b/>
        </w:rPr>
        <w:t xml:space="preserve">response to hydrogen peroxide</w:t>
      </w:r>
      <w:r>
        <w:t xml:space="preserve"> </w:t>
      </w:r>
      <w:r>
        <w:t xml:space="preserve">[Any process that results in a change in state or activity of a cell or an organism (in terms of movement, secretion, enzyme production, gene expression, etc.) as a result of a hydrogen peroxide (H2O2) stimulus. GO:0042542]</w:t>
      </w:r>
    </w:p>
    <w:p>
      <w:pPr>
        <w:pStyle w:val="BodyText"/>
      </w:pPr>
      <w:r>
        <w:rPr>
          <w:bCs/>
          <w:b/>
        </w:rPr>
        <w:t xml:space="preserve">response to mechanical stimulus</w:t>
      </w:r>
      <w:r>
        <w:t xml:space="preserve"> </w:t>
      </w:r>
      <w:r>
        <w:t xml:space="preserve">[Any process that results in a change in state or activity of a cell or an organism (in terms of movement, secretion, enzyme production, gene expression, etc.) as a result of a mechanical stimulus. GO:0009612]</w:t>
      </w:r>
    </w:p>
    <w:p>
      <w:pPr>
        <w:pStyle w:val="BodyText"/>
      </w:pPr>
      <w:r>
        <w:rPr>
          <w:bCs/>
          <w:b/>
        </w:rPr>
        <w:t xml:space="preserve">response to progesterone</w:t>
      </w:r>
      <w:r>
        <w:t xml:space="preserve"> </w:t>
      </w:r>
      <w:r>
        <w:t xml:space="preserve">[Any process that results in a change in state or activity of a cell or an organism (in terms of movement, secretion, enzyme production, gene expression, etc.) as a result of a progesterone stimulus. GO:0032570]</w:t>
      </w:r>
    </w:p>
    <w:p>
      <w:pPr>
        <w:pStyle w:val="BodyText"/>
      </w:pPr>
      <w:r>
        <w:rPr>
          <w:bCs/>
          <w:b/>
        </w:rPr>
        <w:t xml:space="preserve">response to wounding</w:t>
      </w:r>
      <w:r>
        <w:t xml:space="preserve"> </w:t>
      </w:r>
      <w:r>
        <w:t xml:space="preserve">[Any process that results in a change in state or activity of a cell or an organism (in terms of movement, secretion, enzyme production, gene expression, etc.) as a result of a stimulus indicating damage to the organism. GO:0009611]</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toll-like receptor signaling pathway</w:t>
      </w:r>
      <w:r>
        <w:t xml:space="preserve"> </w:t>
      </w:r>
      <w:r>
        <w:t xml:space="preserve">[The series of molecular signals initiated by a ligand binding to a toll-like receptor of a target cell. Toll-like receptors directly bind pattern motifs from a variety of microbial sources to initiate an innate immune response.|Note that the vertebrate toll-like receptors, unlike the Drosophila Toll molecule, directly bind their ligands. The Drosophila Toll molecule requires the Sptzle factor to bind microbial ligands and then the receptor in order to initiate innate immune responses. GO:0002224]</w:t>
      </w:r>
    </w:p>
    <w:p>
      <w:pPr>
        <w:pStyle w:val="BodyText"/>
      </w:pPr>
      <w:r>
        <w:rPr>
          <w:bCs/>
          <w:b/>
        </w:rPr>
        <w:t xml:space="preserve">vitellogenesis</w:t>
      </w:r>
      <w:r>
        <w:t xml:space="preserve"> </w:t>
      </w:r>
      <w:r>
        <w:t xml:space="preserve">[The production of yolk. Yolk is a mixture of materials used for embryonic nutrition. GO:0007296]</w:t>
      </w:r>
    </w:p>
    <w:bookmarkEnd w:id="48"/>
    <w:bookmarkStart w:id="55" w:name="msigdb-signatures"/>
    <w:p>
      <w:pPr>
        <w:pStyle w:val="Heading2"/>
      </w:pPr>
      <w:r>
        <w:t xml:space="preserve">MSigDB Signatures:</w:t>
      </w:r>
    </w:p>
    <w:p>
      <w:pPr>
        <w:pStyle w:val="FirstParagraph"/>
      </w:pPr>
      <w:r>
        <w:rPr>
          <w:bCs/>
          <w:b/>
        </w:rPr>
        <w:t xml:space="preserve">REACTOME_NGF_STIMULATED_TRANSCRIPTION</w:t>
      </w:r>
      <w:r>
        <w:t xml:space="preserve">: NGF-stimulated transcription</w:t>
      </w:r>
      <w:r>
        <w:t xml:space="preserve"> </w:t>
      </w:r>
      <w:hyperlink r:id="rId49">
        <w:r>
          <w:rPr>
            <w:rStyle w:val="Hyperlink"/>
          </w:rPr>
          <w:t xml:space="preserve">[https://www.gsea-msigdb.org/gsea/msigdb/human/geneset/REACTOME_NGF_STIMULATED_TRANSCRIPTION.html]</w:t>
        </w:r>
      </w:hyperlink>
    </w:p>
    <w:p>
      <w:pPr>
        <w:pStyle w:val="BodyText"/>
      </w:pPr>
      <w:r>
        <w:rPr>
          <w:bCs/>
          <w:b/>
        </w:rPr>
        <w:t xml:space="preserve">KEGG_WNT_SIGNALING_PATHWAY</w:t>
      </w:r>
      <w:r>
        <w:t xml:space="preserve">: Wnt signaling pathway</w:t>
      </w:r>
      <w:r>
        <w:t xml:space="preserve"> </w:t>
      </w:r>
      <w:hyperlink r:id="rId50">
        <w:r>
          <w:rPr>
            <w:rStyle w:val="Hyperlink"/>
          </w:rPr>
          <w:t xml:space="preserve">[https://www.gsea-msigdb.org/gsea/msigdb/human/geneset/KEGG_WNT_SIGNALING_PATHWAY.html]</w:t>
        </w:r>
      </w:hyperlink>
    </w:p>
    <w:p>
      <w:pPr>
        <w:pStyle w:val="BodyText"/>
      </w:pPr>
      <w:r>
        <w:rPr>
          <w:bCs/>
          <w:b/>
        </w:rPr>
        <w:t xml:space="preserve">WP_WNT_SIGNALING_WP428</w:t>
      </w:r>
      <w:r>
        <w:t xml:space="preserve">: Wnt signaling</w:t>
      </w:r>
      <w:r>
        <w:t xml:space="preserve"> </w:t>
      </w:r>
      <w:hyperlink r:id="rId51">
        <w:r>
          <w:rPr>
            <w:rStyle w:val="Hyperlink"/>
          </w:rPr>
          <w:t xml:space="preserve">[https://www.gsea-msigdb.org/gsea/msigdb/human/geneset/WP_WNT_SIGNALING_WP428.html]</w:t>
        </w:r>
      </w:hyperlink>
    </w:p>
    <w:p>
      <w:pPr>
        <w:pStyle w:val="BodyText"/>
      </w:pPr>
      <w:r>
        <w:rPr>
          <w:bCs/>
          <w:b/>
        </w:rPr>
        <w:t xml:space="preserve">WP_PLEURAL_MESOTHELIOMA</w:t>
      </w:r>
      <w:r>
        <w:t xml:space="preserve">: Pleural mesothelioma</w:t>
      </w:r>
      <w:r>
        <w:t xml:space="preserve"> </w:t>
      </w:r>
      <w:hyperlink r:id="rId52">
        <w:r>
          <w:rPr>
            <w:rStyle w:val="Hyperlink"/>
          </w:rPr>
          <w:t xml:space="preserve">[https://www.gsea-msigdb.org/gsea/msigdb/human/geneset/WP_PLEURAL_MESOTHELIOMA.html]</w:t>
        </w:r>
      </w:hyperlink>
    </w:p>
    <w:p>
      <w:pPr>
        <w:pStyle w:val="BodyText"/>
      </w:pPr>
      <w:r>
        <w:rPr>
          <w:bCs/>
          <w:b/>
        </w:rPr>
        <w:t xml:space="preserve">REACTOME_SIGNALING_BY_RECEPTOR_TYROSINE_KINASES</w:t>
      </w:r>
      <w:r>
        <w:t xml:space="preserve">: Signaling by Receptor Tyrosine Kinases</w:t>
      </w:r>
      <w:r>
        <w:t xml:space="preserve"> </w:t>
      </w:r>
      <w:hyperlink r:id="rId53">
        <w:r>
          <w:rPr>
            <w:rStyle w:val="Hyperlink"/>
          </w:rPr>
          <w:t xml:space="preserve">[https://www.gsea-msigdb.org/gsea/msigdb/human/geneset/REACTOME_SIGNALING_BY_RECEPTOR_TYROSINE_KINASES.html]</w:t>
        </w:r>
      </w:hyperlink>
    </w:p>
    <w:p>
      <w:pPr>
        <w:pStyle w:val="BodyText"/>
      </w:pPr>
      <w:r>
        <w:rPr>
          <w:bCs/>
          <w:b/>
        </w:rPr>
        <w:t xml:space="preserve">REACTOME_SIGNALING_BY_NTRKS</w:t>
      </w:r>
      <w:r>
        <w:t xml:space="preserve">: Signaling by NTRKs</w:t>
      </w:r>
      <w:r>
        <w:t xml:space="preserve"> </w:t>
      </w:r>
      <w:hyperlink r:id="rId54">
        <w:r>
          <w:rPr>
            <w:rStyle w:val="Hyperlink"/>
          </w:rPr>
          <w:t xml:space="preserve">[https://www.gsea-msigdb.org/gsea/msigdb/human/geneset/REACTOME_SIGNALING_BY_NTRKS.html]</w:t>
        </w:r>
      </w:hyperlink>
    </w:p>
    <w:bookmarkEnd w:id="55"/>
    <w:bookmarkEnd w:id="56"/>
    <w:bookmarkStart w:id="57" w:name="gene-descriptions"/>
    <w:p>
      <w:pPr>
        <w:pStyle w:val="Heading1"/>
      </w:pPr>
      <w:r>
        <w:t xml:space="preserve">7. Gene Descriptions</w:t>
      </w:r>
    </w:p>
    <w:p>
      <w:pPr>
        <w:pStyle w:val="FirstParagraph"/>
      </w:pPr>
      <w:r>
        <w:rPr>
          <w:bCs/>
          <w:b/>
        </w:rPr>
        <w:t xml:space="preserve">NCBI Gene Summary</w:t>
      </w:r>
      <w:r>
        <w:t xml:space="preserve">: The Fos gene family consists of 4 members: FOS, FOSB, FOSL1, and FOSL2. These genes encode leucine zipper proteins that can dimerize with proteins of the JUN family, thereby forming the transcription factor complex AP-1. As such, the FOS proteins have been implicated as regulators of cell proliferation, differentiation, and transformation. Several transcript variants encoding different isoforms have been found for this gene. [provided by RefSeq, Jul 2014]</w:t>
      </w:r>
    </w:p>
    <w:p>
      <w:pPr>
        <w:pStyle w:val="BodyText"/>
      </w:pPr>
      <w:r>
        <w:rPr>
          <w:bCs/>
          <w:b/>
        </w:rPr>
        <w:t xml:space="preserve">GeneCards Summary</w:t>
      </w:r>
      <w:r>
        <w:t xml:space="preserve">: FOSL1 (FOS Like 1, AP-1 Transcription Factor Subunit) is a Protein Coding gene. Diseases associated with FOSL1 include Trichorhinophalangeal Syndrome, Type I and Colorectal Cancer. Among its related pathways are ncRNAs involved in Wnt signaling in hepatocellular carcinoma and IL-1 Family Signaling Pathways. Gene Ontology (GO) annotations related to this gene include DNA-binding transcription factor activity and RNA polymerase II transcription regulatory region sequence-specific DNA binding. An important paralog of this gene is FOSL2.</w:t>
      </w:r>
    </w:p>
    <w:bookmarkEnd w:id="57"/>
    <w:bookmarkStart w:id="59" w:name="cellular-location-of-gene-product"/>
    <w:p>
      <w:pPr>
        <w:pStyle w:val="Heading1"/>
      </w:pPr>
      <w:r>
        <w:t xml:space="preserve">8. Cellular Location of Gene Product</w:t>
      </w:r>
    </w:p>
    <w:p>
      <w:pPr>
        <w:pStyle w:val="FirstParagraph"/>
      </w:pPr>
      <w:r>
        <w:t xml:space="preserve">Nuclear and cytoplasmic expression most abundant in squamous epithelium. Localized to the nucleoplasm. Predicted location: Intracellular [</w:t>
      </w:r>
      <w:hyperlink r:id="rId58">
        <w:r>
          <w:rPr>
            <w:rStyle w:val="Hyperlink"/>
          </w:rPr>
          <w:t xml:space="preserve">https://www.proteinatlas.org/ENSG00000175592/subcellular</w:t>
        </w:r>
      </w:hyperlink>
      <w:r>
        <w:t xml:space="preserve">]</w:t>
      </w:r>
    </w:p>
    <w:bookmarkEnd w:id="59"/>
    <w:bookmarkStart w:id="61" w:name="mechanistic-information"/>
    <w:p>
      <w:pPr>
        <w:pStyle w:val="Heading1"/>
      </w:pPr>
      <w:r>
        <w:t xml:space="preserve">9. Mechanistic Information</w:t>
      </w:r>
    </w:p>
    <w:p>
      <w:pPr>
        <w:numPr>
          <w:ilvl w:val="0"/>
          <w:numId w:val="1007"/>
        </w:numPr>
        <w:pStyle w:val="Compact"/>
      </w:pPr>
      <w:r>
        <w:t xml:space="preserve">FOSL1 gene is upregulated at the injured sites following sciatic nerve injury. FOSL1 was immediately up-regulated at early time points post nerve injury. Interfering FOSL1 decreases the proliferation rate and migration ability of Schwann cells, leading to impaired nerve regeneration. Mechanism investigations demonstrate that FOSL1 regulates Schwann cell proliferation and migration by directly binding to the promoter of EPH Receptor B2 (EPHB2) and promoting EPHB2 transcription. [PMID: 37949219].</w:t>
      </w:r>
    </w:p>
    <w:bookmarkStart w:id="60" w:name="summary"/>
    <w:p>
      <w:pPr>
        <w:pStyle w:val="Heading2"/>
      </w:pPr>
      <w:r>
        <w:t xml:space="preserve">Summary</w:t>
      </w:r>
    </w:p>
    <w:p>
      <w:pPr>
        <w:pStyle w:val="FirstParagraph"/>
      </w:pPr>
      <w:r>
        <w:t xml:space="preserve">FOSL1, also known as FOS-like antigen 1, encodes a protein that is essential for the formation of the activator protein 1 (AP-1) transcription factor complex [CS: 10]. AP-1 plays a crucial role in regulating various cellular processes, including cell proliferation, differentiation, and transformation [CS: 10].</w:t>
      </w:r>
    </w:p>
    <w:p>
      <w:pPr>
        <w:pStyle w:val="BodyText"/>
      </w:pPr>
      <w:r>
        <w:t xml:space="preserve">In the context of peripheral nerve injury, such as sciatic nerve damage, FOSL1 expression is rapidly upregulated [CS: 7]. This upregulation serves a protective and regenerative function by promoting Schwann cell proliferation and migration, which are vital for nerve repair [CS: 8]. FOSL1 achieves this by binding to the promoter of the EPH receptor B2 (EPHB2), thereby enhancing its transcription and facilitating nerve regeneration [CS: 6].</w:t>
      </w:r>
    </w:p>
    <w:bookmarkEnd w:id="60"/>
    <w:bookmarkEnd w:id="61"/>
    <w:bookmarkStart w:id="65" w:name="upstream-regulators"/>
    <w:p>
      <w:pPr>
        <w:pStyle w:val="Heading1"/>
      </w:pPr>
      <w:r>
        <w:t xml:space="preserve">10. Upstream Regulators</w:t>
      </w:r>
    </w:p>
    <w:p>
      <w:pPr>
        <w:numPr>
          <w:ilvl w:val="0"/>
          <w:numId w:val="1008"/>
        </w:numPr>
        <w:pStyle w:val="Compact"/>
      </w:pPr>
      <w:r>
        <w:t xml:space="preserve">Mutant Kras induced Fosl1 gene expression in lung tissue, and Fosl1 deletion in mice reduced Kras-induced lung tumorigenesis, leading to increased survival compared to Fosl1-sufficient controls [</w:t>
      </w:r>
      <w:hyperlink r:id="rId62">
        <w:r>
          <w:rPr>
            <w:rStyle w:val="Hyperlink"/>
          </w:rPr>
          <w:t xml:space="preserve">PMID: 29112457</w:t>
        </w:r>
      </w:hyperlink>
      <w:r>
        <w:t xml:space="preserve">].</w:t>
      </w:r>
    </w:p>
    <w:p>
      <w:pPr>
        <w:numPr>
          <w:ilvl w:val="0"/>
          <w:numId w:val="1008"/>
        </w:numPr>
        <w:pStyle w:val="Compact"/>
      </w:pPr>
      <w:r>
        <w:t xml:space="preserve">Fosl1 (FRA-1) expression was activated through the MAPK/MEK/ERK cascade in esophageal squamous cell carcinoma (ESCC) tissues. CTHRC1 was found to activate FRA-1 through the MAPK/MEK/ERK cascade, which led to upregulation of cyclin D1 and thus promoted cell proliferation. [</w:t>
      </w:r>
      <w:hyperlink r:id="rId63">
        <w:r>
          <w:rPr>
            <w:rStyle w:val="Hyperlink"/>
          </w:rPr>
          <w:t xml:space="preserve">PMID: 28645305</w:t>
        </w:r>
      </w:hyperlink>
      <w:r>
        <w:t xml:space="preserve">].</w:t>
      </w:r>
    </w:p>
    <w:p>
      <w:pPr>
        <w:numPr>
          <w:ilvl w:val="0"/>
          <w:numId w:val="1008"/>
        </w:numPr>
        <w:pStyle w:val="Compact"/>
      </w:pPr>
      <w:r>
        <w:t xml:space="preserve">Gene expression of Fosl1 was found to be activated through the EGFR-PKM2 signaling axis, promoting nasopharyngeal carcinoma (NPC) cell invasion and metastasis [</w:t>
      </w:r>
      <w:hyperlink r:id="rId64">
        <w:r>
          <w:rPr>
            <w:rStyle w:val="Hyperlink"/>
          </w:rPr>
          <w:t xml:space="preserve">PMID: 31665243</w:t>
        </w:r>
      </w:hyperlink>
      <w:r>
        <w:t xml:space="preserve">].</w:t>
      </w:r>
    </w:p>
    <w:p>
      <w:pPr>
        <w:numPr>
          <w:ilvl w:val="0"/>
          <w:numId w:val="1008"/>
        </w:numPr>
        <w:pStyle w:val="Compact"/>
      </w:pPr>
      <w:r>
        <w:t xml:space="preserve">MicroRNA-130a suppresses breast cancer cell migration and invasion by targeting FOSL1 gene and inhibiting its expression. MiR-130a expression is significantly reduced in cancer tissues from triple-negative breast cancer (TNBC) patients, correlating significantly with the upregulation of FOSL1 gene expression, compared to non-TNBC tissues. [PMID: 29384218].</w:t>
      </w:r>
    </w:p>
    <w:p>
      <w:pPr>
        <w:numPr>
          <w:ilvl w:val="0"/>
          <w:numId w:val="1008"/>
        </w:numPr>
        <w:pStyle w:val="Compact"/>
      </w:pPr>
      <w:r>
        <w:t xml:space="preserve">MicroRNA-34 suppresses breast cancer invasion and metastasis by directly targeting Fra-1. MiR-34a/c bound directly to the 3’untranslated region of Fra-1, subsequently reducing both the mRNA and protein levels of Fra-1 [PMID: 23001043].</w:t>
      </w:r>
    </w:p>
    <w:p>
      <w:pPr>
        <w:numPr>
          <w:ilvl w:val="0"/>
          <w:numId w:val="1008"/>
        </w:numPr>
        <w:pStyle w:val="Compact"/>
      </w:pPr>
      <w:r>
        <w:t xml:space="preserve">ETV4 is a theranostic target in clear cell renal cell carcinoma (ccRCC) that promotes metastasis by activating the pro-metastatic gene FOSL1 in a PI3K-AKT dependent manner. Both ETV4 and FOSL1 serve as an independent, unfavorable ccRCC prognostic indicator, and the accumulation of the ETV4 and FOSL1 in ccRCC patients result in a worse survival outcome in ccRCC patients. ETV4/FOSL1 axis acts as a prognostic biomarker and ETV4 directly up-regulates FOSL1 by binding with its promoter in a PI3K-AKT dependent manner, leading to metastasis and disease progression of ccRCC [PMID: 32305558].</w:t>
      </w:r>
    </w:p>
    <w:p>
      <w:pPr>
        <w:numPr>
          <w:ilvl w:val="0"/>
          <w:numId w:val="1008"/>
        </w:numPr>
        <w:pStyle w:val="Compact"/>
      </w:pPr>
      <w:r>
        <w:t xml:space="preserve">SMAD4 represses FOSL1 gene expression and pancreatic cancer metastatic colonization [PMID: 34320363].</w:t>
      </w:r>
    </w:p>
    <w:bookmarkEnd w:id="65"/>
    <w:bookmarkStart w:id="68"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adipose tissue, urinary bladder (tissue enhanced) [</w:t>
      </w:r>
      <w:hyperlink r:id="rId66">
        <w:r>
          <w:rPr>
            <w:rStyle w:val="Hyperlink"/>
          </w:rPr>
          <w:t xml:space="preserve">https://www.proteinatlas.org/ENSG00000175592/tissue</w:t>
        </w:r>
      </w:hyperlink>
      <w:r>
        <w:t xml:space="preserve">]</w:t>
      </w:r>
    </w:p>
    <w:p>
      <w:pPr>
        <w:pStyle w:val="BodyText"/>
      </w:pPr>
      <w:r>
        <w:rPr>
          <w:bCs/>
          <w:b/>
        </w:rPr>
        <w:t xml:space="preserve">Cell type enhanced</w:t>
      </w:r>
      <w:r>
        <w:t xml:space="preserve">: basal keratinocytes, basal squamous epithelial cells, squamous epithelial cells, suprabasal keratinocytes (cell type enhanced) [</w:t>
      </w:r>
      <w:hyperlink r:id="rId67">
        <w:r>
          <w:rPr>
            <w:rStyle w:val="Hyperlink"/>
          </w:rPr>
          <w:t xml:space="preserve">https://www.proteinatlas.org/ENSG00000175592/single+cell+type</w:t>
        </w:r>
      </w:hyperlink>
      <w:r>
        <w:t xml:space="preserve">]</w:t>
      </w:r>
    </w:p>
    <w:bookmarkEnd w:id="68"/>
    <w:bookmarkStart w:id="91" w:name="role-of-gene-in-other-tissues"/>
    <w:p>
      <w:pPr>
        <w:pStyle w:val="Heading1"/>
      </w:pPr>
      <w:r>
        <w:t xml:space="preserve">12. Role of Gene in Other Tissues</w:t>
      </w:r>
    </w:p>
    <w:p>
      <w:pPr>
        <w:numPr>
          <w:ilvl w:val="0"/>
          <w:numId w:val="1009"/>
        </w:numPr>
        <w:pStyle w:val="Compact"/>
      </w:pPr>
      <w:r>
        <w:t xml:space="preserve">FOSL1 expression in hepatocellular carcinoma (HCC) tissues was higher compared to adjacent non-tumor tissues. FOSL1 gene expression in hepatocellular carcinoma (HCC) tissues shows a significant association with worse prognosis, correlating with histological grade, lymphovascular embolization, tumor budding, larger tumor size, hepatitis B virus infection, advanced T stage, vascular invasion and reduced overall survival. FOSL1 overexpression identifies cirrhosis and premalignant lesions at risk of progressing to HCC [</w:t>
      </w:r>
      <w:hyperlink r:id="rId69">
        <w:r>
          <w:rPr>
            <w:rStyle w:val="Hyperlink"/>
          </w:rPr>
          <w:t xml:space="preserve">PMID: 37560339</w:t>
        </w:r>
      </w:hyperlink>
      <w:r>
        <w:t xml:space="preserve">,</w:t>
      </w:r>
      <w:r>
        <w:t xml:space="preserve"> </w:t>
      </w:r>
      <w:hyperlink r:id="rId70">
        <w:r>
          <w:rPr>
            <w:rStyle w:val="Hyperlink"/>
          </w:rPr>
          <w:t xml:space="preserve">PMID: 31274473</w:t>
        </w:r>
      </w:hyperlink>
      <w:r>
        <w:t xml:space="preserve">,</w:t>
      </w:r>
      <w:r>
        <w:t xml:space="preserve"> </w:t>
      </w:r>
      <w:hyperlink r:id="rId71">
        <w:r>
          <w:rPr>
            <w:rStyle w:val="Hyperlink"/>
          </w:rPr>
          <w:t xml:space="preserve">PMID: 28653890</w:t>
        </w:r>
      </w:hyperlink>
      <w:r>
        <w:t xml:space="preserve">].</w:t>
      </w:r>
    </w:p>
    <w:p>
      <w:pPr>
        <w:numPr>
          <w:ilvl w:val="0"/>
          <w:numId w:val="1009"/>
        </w:numPr>
        <w:pStyle w:val="Compact"/>
      </w:pPr>
      <w:r>
        <w:t xml:space="preserve">FOSL1 gene expression was significantly increased in lesional psoriatic skin compared to unaffected skin [</w:t>
      </w:r>
      <w:hyperlink r:id="rId72">
        <w:r>
          <w:rPr>
            <w:rStyle w:val="Hyperlink"/>
          </w:rPr>
          <w:t xml:space="preserve">PMID: 22235402</w:t>
        </w:r>
      </w:hyperlink>
      <w:r>
        <w:t xml:space="preserve">,</w:t>
      </w:r>
      <w:r>
        <w:t xml:space="preserve"> </w:t>
      </w:r>
      <w:hyperlink r:id="rId73">
        <w:r>
          <w:rPr>
            <w:rStyle w:val="Hyperlink"/>
          </w:rPr>
          <w:t xml:space="preserve">PMID: 25175497</w:t>
        </w:r>
      </w:hyperlink>
      <w:r>
        <w:t xml:space="preserve">]. Gene expression of Fosl1 is substantially increased in psoriatic skin lesions and atherosclerotic vessel lesions compared to non-lesion samples [</w:t>
      </w:r>
      <w:hyperlink r:id="rId74">
        <w:r>
          <w:rPr>
            <w:rStyle w:val="Hyperlink"/>
          </w:rPr>
          <w:t xml:space="preserve">PMID: 20198886</w:t>
        </w:r>
      </w:hyperlink>
      <w:r>
        <w:t xml:space="preserve">].</w:t>
      </w:r>
    </w:p>
    <w:p>
      <w:pPr>
        <w:numPr>
          <w:ilvl w:val="0"/>
          <w:numId w:val="1009"/>
        </w:numPr>
        <w:pStyle w:val="Compact"/>
      </w:pPr>
      <w:r>
        <w:t xml:space="preserve">Fosl1 (FRA1) gene is robustly expressed in the CA1 region of the adult rat hippocampus in response to ischemic stress [</w:t>
      </w:r>
      <w:hyperlink r:id="rId75">
        <w:r>
          <w:rPr>
            <w:rStyle w:val="Hyperlink"/>
          </w:rPr>
          <w:t xml:space="preserve">PMID: 15306117</w:t>
        </w:r>
      </w:hyperlink>
      <w:r>
        <w:t xml:space="preserve">].</w:t>
      </w:r>
    </w:p>
    <w:p>
      <w:pPr>
        <w:numPr>
          <w:ilvl w:val="0"/>
          <w:numId w:val="1009"/>
        </w:numPr>
        <w:pStyle w:val="Compact"/>
      </w:pPr>
      <w:r>
        <w:t xml:space="preserve">FOSL1 expression is significantly higher in gastric cancer tissues compared to adjacent non-cancerous tissues and is correlated with lymphatic invasion and TNM stage. High FOSL1 expression is associated with lower 5-year overall survival and is an independent prognostic biomarker in gastric cancer [</w:t>
      </w:r>
      <w:hyperlink r:id="rId76">
        <w:r>
          <w:rPr>
            <w:rStyle w:val="Hyperlink"/>
          </w:rPr>
          <w:t xml:space="preserve">PMID: 30935763</w:t>
        </w:r>
      </w:hyperlink>
      <w:r>
        <w:t xml:space="preserve">,</w:t>
      </w:r>
      <w:r>
        <w:t xml:space="preserve"> </w:t>
      </w:r>
      <w:hyperlink r:id="rId77">
        <w:r>
          <w:rPr>
            <w:rStyle w:val="Hyperlink"/>
          </w:rPr>
          <w:t xml:space="preserve">PMID: 26330014</w:t>
        </w:r>
      </w:hyperlink>
      <w:r>
        <w:t xml:space="preserve">].</w:t>
      </w:r>
    </w:p>
    <w:p>
      <w:pPr>
        <w:numPr>
          <w:ilvl w:val="0"/>
          <w:numId w:val="1009"/>
        </w:numPr>
        <w:pStyle w:val="Compact"/>
      </w:pPr>
      <w:r>
        <w:t xml:space="preserve">FOSL1 is upregulated in colon tissues of a DSS-induced ulcerative colitis (UC) mouse model, and its knockdown ameliorates colonic injury, inflammation, and barrier damage through MMP13 downregulation [</w:t>
      </w:r>
      <w:hyperlink r:id="rId78">
        <w:r>
          <w:rPr>
            <w:rStyle w:val="Hyperlink"/>
          </w:rPr>
          <w:t xml:space="preserve">PMID: 35978937</w:t>
        </w:r>
      </w:hyperlink>
      <w:r>
        <w:t xml:space="preserve">].</w:t>
      </w:r>
    </w:p>
    <w:p>
      <w:pPr>
        <w:numPr>
          <w:ilvl w:val="0"/>
          <w:numId w:val="1009"/>
        </w:numPr>
        <w:pStyle w:val="Compact"/>
      </w:pPr>
      <w:r>
        <w:t xml:space="preserve">Increased expression of the Fra-1 gene is observed in the inflamed mucosa of patients with mild ulcerative colitis, and this corresponds with increased IL-11 protein levels, whereas IL-11 decreases in severe UC cases [</w:t>
      </w:r>
      <w:hyperlink r:id="rId79">
        <w:r>
          <w:rPr>
            <w:rStyle w:val="Hyperlink"/>
          </w:rPr>
          <w:t xml:space="preserve">PMID: 29914371</w:t>
        </w:r>
      </w:hyperlink>
      <w:r>
        <w:t xml:space="preserve">].</w:t>
      </w:r>
    </w:p>
    <w:p>
      <w:pPr>
        <w:numPr>
          <w:ilvl w:val="0"/>
          <w:numId w:val="1009"/>
        </w:numPr>
        <w:pStyle w:val="Compact"/>
      </w:pPr>
      <w:r>
        <w:t xml:space="preserve">Fosl1 gene expression was found to be elevated in the tumor microenvironment and associated with immune response in Bladder Urothelial Carcinoma patients, particularly in those with high-grade tumors [</w:t>
      </w:r>
      <w:hyperlink r:id="rId80">
        <w:r>
          <w:rPr>
            <w:rStyle w:val="Hyperlink"/>
          </w:rPr>
          <w:t xml:space="preserve">PMID: 38172584</w:t>
        </w:r>
      </w:hyperlink>
      <w:r>
        <w:t xml:space="preserve">].</w:t>
      </w:r>
    </w:p>
    <w:p>
      <w:pPr>
        <w:numPr>
          <w:ilvl w:val="0"/>
          <w:numId w:val="1009"/>
        </w:numPr>
        <w:pStyle w:val="Compact"/>
      </w:pPr>
      <w:r>
        <w:t xml:space="preserve">Fosl1 gene expression is upregulated in proximal tubular cells during murine nephrotoxic acute kidney injury (AKI) induced by folic acid or cisplatin. Selective Fosl1 deficiency in proximal tubular cells worsens AKI outcomes, characterized by decreased kidney function and increased inflammation; increased Fosl1 expression preserves Klotho and reduces AKI severity [</w:t>
      </w:r>
      <w:hyperlink r:id="rId81">
        <w:r>
          <w:rPr>
            <w:rStyle w:val="Hyperlink"/>
          </w:rPr>
          <w:t xml:space="preserve">PMID: 36565807</w:t>
        </w:r>
      </w:hyperlink>
      <w:r>
        <w:t xml:space="preserve">].</w:t>
      </w:r>
    </w:p>
    <w:p>
      <w:pPr>
        <w:numPr>
          <w:ilvl w:val="0"/>
          <w:numId w:val="1009"/>
        </w:numPr>
        <w:pStyle w:val="Compact"/>
      </w:pPr>
      <w:r>
        <w:t xml:space="preserve">Fra-1 gene was overexpressed in the lung cancer tissues when compared with the level in the adjacent non-cancerous tissues [PMID: 26549498]. High-level FOSL1 mRNA expression was associated with poor overall survival rates in all patients with lung cancer and adenocarcinoma. In contrast, relatively low-level FOSL1 mRNA expression was associated with increased survival in all patients with lung cancer [</w:t>
      </w:r>
      <w:hyperlink r:id="rId62">
        <w:r>
          <w:rPr>
            <w:rStyle w:val="Hyperlink"/>
          </w:rPr>
          <w:t xml:space="preserve">PMID: 29112457</w:t>
        </w:r>
      </w:hyperlink>
      <w:r>
        <w:t xml:space="preserve">].</w:t>
      </w:r>
    </w:p>
    <w:p>
      <w:pPr>
        <w:numPr>
          <w:ilvl w:val="0"/>
          <w:numId w:val="1009"/>
        </w:numPr>
        <w:pStyle w:val="Compact"/>
      </w:pPr>
      <w:r>
        <w:t xml:space="preserve">Fosl1 (Fra-1) gene expression was found to be overexpressed in esophageal squamous cell carcinoma (ESCC) compared to normal esophageal epithelium in 87% of the clinical specimens analyzed [</w:t>
      </w:r>
      <w:hyperlink r:id="rId82">
        <w:r>
          <w:rPr>
            <w:rStyle w:val="Hyperlink"/>
          </w:rPr>
          <w:t xml:space="preserve">PMID: 11489794</w:t>
        </w:r>
      </w:hyperlink>
      <w:r>
        <w:t xml:space="preserve">].</w:t>
      </w:r>
    </w:p>
    <w:p>
      <w:pPr>
        <w:numPr>
          <w:ilvl w:val="0"/>
          <w:numId w:val="1009"/>
        </w:numPr>
        <w:pStyle w:val="Compact"/>
      </w:pPr>
      <w:r>
        <w:t xml:space="preserve">Fosl1 mRNA expression was increased in the striatum and hippocampus of prenatal stress (PS) offspring of BALB/c mice [</w:t>
      </w:r>
      <w:hyperlink r:id="rId83">
        <w:r>
          <w:rPr>
            <w:rStyle w:val="Hyperlink"/>
          </w:rPr>
          <w:t xml:space="preserve">PMID: 25102410</w:t>
        </w:r>
      </w:hyperlink>
      <w:r>
        <w:t xml:space="preserve">].</w:t>
      </w:r>
    </w:p>
    <w:p>
      <w:pPr>
        <w:numPr>
          <w:ilvl w:val="0"/>
          <w:numId w:val="1009"/>
        </w:numPr>
        <w:pStyle w:val="Compact"/>
      </w:pPr>
      <w:r>
        <w:t xml:space="preserve">FOSL1 gene was found to be upregulated in pilocytic astrocytomas, a type of low-grade glioma in children [</w:t>
      </w:r>
      <w:hyperlink r:id="rId84">
        <w:r>
          <w:rPr>
            <w:rStyle w:val="Hyperlink"/>
          </w:rPr>
          <w:t xml:space="preserve">PMID: 27229157</w:t>
        </w:r>
      </w:hyperlink>
      <w:r>
        <w:t xml:space="preserve">].</w:t>
      </w:r>
    </w:p>
    <w:p>
      <w:pPr>
        <w:numPr>
          <w:ilvl w:val="0"/>
          <w:numId w:val="1009"/>
        </w:numPr>
        <w:pStyle w:val="Compact"/>
      </w:pPr>
      <w:r>
        <w:t xml:space="preserve">Fosl1 (Fra-1) was identified as one of the top-10 upregulated mRNAs in brain tissues of a rat model of middle cerebral artery occlusion, which is used to study ischemic stroke [</w:t>
      </w:r>
      <w:hyperlink r:id="rId85">
        <w:r>
          <w:rPr>
            <w:rStyle w:val="Hyperlink"/>
          </w:rPr>
          <w:t xml:space="preserve">PMID: 37056868</w:t>
        </w:r>
      </w:hyperlink>
      <w:r>
        <w:t xml:space="preserve">].</w:t>
      </w:r>
    </w:p>
    <w:p>
      <w:pPr>
        <w:numPr>
          <w:ilvl w:val="0"/>
          <w:numId w:val="1009"/>
        </w:numPr>
        <w:pStyle w:val="Compact"/>
      </w:pPr>
      <w:r>
        <w:t xml:space="preserve">Gene expression of FOSL1 is upregulated in diabetic nephropathy, specifically in patients with micro- and macroalbuminuria compared to normoalbuminuria [</w:t>
      </w:r>
      <w:hyperlink r:id="rId86">
        <w:r>
          <w:rPr>
            <w:rStyle w:val="Hyperlink"/>
          </w:rPr>
          <w:t xml:space="preserve">PMID: 36764337</w:t>
        </w:r>
      </w:hyperlink>
      <w:r>
        <w:t xml:space="preserve">].</w:t>
      </w:r>
    </w:p>
    <w:p>
      <w:pPr>
        <w:numPr>
          <w:ilvl w:val="0"/>
          <w:numId w:val="1009"/>
        </w:numPr>
        <w:pStyle w:val="Compact"/>
      </w:pPr>
      <w:r>
        <w:t xml:space="preserve">FOSL1 gene was overexpressed in triple-negative breast cancer (TNBC) cells compared to non-TNBC cells. TNBC patients with high FOSL1 expression showed a significant poorer survival than those with low FOSL1 expression. [</w:t>
      </w:r>
      <w:hyperlink r:id="rId87">
        <w:r>
          <w:rPr>
            <w:rStyle w:val="Hyperlink"/>
          </w:rPr>
          <w:t xml:space="preserve">PMID: 31672492</w:t>
        </w:r>
      </w:hyperlink>
      <w:r>
        <w:t xml:space="preserve">].</w:t>
      </w:r>
    </w:p>
    <w:p>
      <w:pPr>
        <w:numPr>
          <w:ilvl w:val="0"/>
          <w:numId w:val="1009"/>
        </w:numPr>
        <w:pStyle w:val="Compact"/>
      </w:pPr>
      <w:r>
        <w:t xml:space="preserve">Gene expression of Fosl1 in the middle ear mucosa was increased at 12 hours but decreased at 48 hours following Streptococcus pneumoniae infection in rats [</w:t>
      </w:r>
      <w:hyperlink r:id="rId88">
        <w:r>
          <w:rPr>
            <w:rStyle w:val="Hyperlink"/>
          </w:rPr>
          <w:t xml:space="preserve">PMID: 12875578</w:t>
        </w:r>
      </w:hyperlink>
      <w:r>
        <w:t xml:space="preserve">].</w:t>
      </w:r>
    </w:p>
    <w:p>
      <w:pPr>
        <w:numPr>
          <w:ilvl w:val="0"/>
          <w:numId w:val="1009"/>
        </w:numPr>
        <w:pStyle w:val="Compact"/>
      </w:pPr>
      <w:r>
        <w:t xml:space="preserve">A marked down-regulation of Fosl1 (FRA1) was observed in malignant triple-negative breast cancer tissues compared to normal adjacent tissues, indicating potential regulatory changes in gene expression associated with this cancer type [</w:t>
      </w:r>
      <w:hyperlink r:id="rId89">
        <w:r>
          <w:rPr>
            <w:rStyle w:val="Hyperlink"/>
          </w:rPr>
          <w:t xml:space="preserve">PMID: 34389675</w:t>
        </w:r>
      </w:hyperlink>
      <w:r>
        <w:t xml:space="preserve">].</w:t>
      </w:r>
    </w:p>
    <w:p>
      <w:pPr>
        <w:numPr>
          <w:ilvl w:val="0"/>
          <w:numId w:val="1009"/>
        </w:numPr>
        <w:pStyle w:val="Compact"/>
      </w:pPr>
      <w:r>
        <w:t xml:space="preserve">FOSL1 mRNA is significantly upregulated in head and neck squamous cell carcinoma (HNSCC) tumor tissues, correlating with metastasis. Depletion of FOSL1 disrupts super-enhancers, leading to inhibited expression of key oncogenes and suppression of tumor initiation and metastasis [</w:t>
      </w:r>
      <w:hyperlink r:id="rId90">
        <w:r>
          <w:rPr>
            <w:rStyle w:val="Hyperlink"/>
          </w:rPr>
          <w:t xml:space="preserve">PMID: 33794365</w:t>
        </w:r>
      </w:hyperlink>
      <w:r>
        <w:t xml:space="preserve">].</w:t>
      </w:r>
    </w:p>
    <w:bookmarkEnd w:id="91"/>
    <w:bookmarkStart w:id="92"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Fosl1 expression (increase or decrease) in Peripheral nerve.</w:t>
      </w:r>
    </w:p>
    <w:bookmarkEnd w:id="92"/>
    <w:bookmarkStart w:id="9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12209953, PMID: 17572495, PMID: 18288638, PMID: 22028113, PMID: 22411068]</w:t>
      </w:r>
    </w:p>
    <w:p>
      <w:pPr>
        <w:numPr>
          <w:ilvl w:val="0"/>
          <w:numId w:val="1010"/>
        </w:numPr>
        <w:pStyle w:val="Compact"/>
      </w:pPr>
      <w:r>
        <w:t xml:space="preserve">Malignant Neoplasms [PMID: 15514944, PMID: 19653276, PMID: 22286759, PMID: 27816489, PMID: 30344941]</w:t>
      </w:r>
    </w:p>
    <w:p>
      <w:pPr>
        <w:numPr>
          <w:ilvl w:val="0"/>
          <w:numId w:val="1010"/>
        </w:numPr>
        <w:pStyle w:val="Compact"/>
      </w:pPr>
      <w:r>
        <w:t xml:space="preserve">Primary malignant neoplasm [PMID: 15514944, PMID: 19653276, PMID: 22286759, PMID: 27816489, PMID: 31300541]</w:t>
      </w:r>
    </w:p>
    <w:p>
      <w:pPr>
        <w:numPr>
          <w:ilvl w:val="0"/>
          <w:numId w:val="1010"/>
        </w:numPr>
        <w:pStyle w:val="Compact"/>
      </w:pPr>
      <w:r>
        <w:t xml:space="preserve">Tumor Cell Invasion [PMID: 16199154, PMID: 22028113, PMID: 22198213, PMID: 22926518, PMID: 24658684]</w:t>
      </w:r>
    </w:p>
    <w:p>
      <w:pPr>
        <w:numPr>
          <w:ilvl w:val="0"/>
          <w:numId w:val="1010"/>
        </w:numPr>
        <w:pStyle w:val="Compact"/>
      </w:pPr>
      <w:r>
        <w:t xml:space="preserve">Carcinogenesis [PMID: 17192200, PMID: 17371847, PMID: 22286759, PMID: 25301070, PMID: 29112457]</w:t>
      </w:r>
    </w:p>
    <w:bookmarkEnd w:id="9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4" Target="https://alphafold.ebi.ac.uk/entry/P10158" TargetMode="External" /><Relationship Type="http://schemas.openxmlformats.org/officeDocument/2006/relationships/hyperlink" Id="rId43" Target="https://alphafold.ebi.ac.uk/entry/P15407" TargetMode="External" /><Relationship Type="http://schemas.openxmlformats.org/officeDocument/2006/relationships/hyperlink" Id="rId33" Target="https://maayanlab.cloud/Harmonizome/gene/FOSL1" TargetMode="External" /><Relationship Type="http://schemas.openxmlformats.org/officeDocument/2006/relationships/hyperlink" Id="rId46" Target="https://reactome.org/PathwayBrowser/#/R-HSA-9031628" TargetMode="External" /><Relationship Type="http://schemas.openxmlformats.org/officeDocument/2006/relationships/hyperlink" Id="rId38" Target="https://rgd.mcw.edu/rgdweb/report/gene/main.html?id=2627" TargetMode="External" /><Relationship Type="http://schemas.openxmlformats.org/officeDocument/2006/relationships/hyperlink" Id="rId27" Target="https://string-db.org/newstring_cgi/show_edge_details.pl?identifiers=9606.ENSP00000310170%0D9606.ENSP00000245919" TargetMode="External" /><Relationship Type="http://schemas.openxmlformats.org/officeDocument/2006/relationships/hyperlink" Id="rId28" Target="https://string-db.org/newstring_cgi/show_edge_details.pl?identifiers=9606.ENSP00000310170%0D9606.ENSP00000264716" TargetMode="External" /><Relationship Type="http://schemas.openxmlformats.org/officeDocument/2006/relationships/hyperlink" Id="rId29" Target="https://string-db.org/newstring_cgi/show_edge_details.pl?identifiers=9606.ENSP00000310170%0D9606.ENSP00000306245" TargetMode="External" /><Relationship Type="http://schemas.openxmlformats.org/officeDocument/2006/relationships/hyperlink" Id="rId30" Target="https://string-db.org/newstring_cgi/show_edge_details.pl?identifiers=9606.ENSP00000310170%0D9606.ENSP00000384273" TargetMode="External" /><Relationship Type="http://schemas.openxmlformats.org/officeDocument/2006/relationships/hyperlink" Id="rId36" Target="https://useast.ensembl.org/Homo_sapiens/Gene/Summary?g=ENSG00000175592" TargetMode="External" /><Relationship Type="http://schemas.openxmlformats.org/officeDocument/2006/relationships/hyperlink" Id="rId37" Target="https://useast.ensembl.org/Rattus_norvegicus/Gene/Summary?g=ENSRNOG00000020552" TargetMode="External" /><Relationship Type="http://schemas.openxmlformats.org/officeDocument/2006/relationships/hyperlink" Id="rId20" Target="https://www.genecards.org/cgi-bin/carddisp.pl?gene=FOSL1" TargetMode="External" /><Relationship Type="http://schemas.openxmlformats.org/officeDocument/2006/relationships/hyperlink" Id="rId50" Target="https://www.gsea-msigdb.org/gsea/msigdb/human/geneset/KEGG_WNT_SIGNALING_PATHWAY.html" TargetMode="External" /><Relationship Type="http://schemas.openxmlformats.org/officeDocument/2006/relationships/hyperlink" Id="rId49" Target="https://www.gsea-msigdb.org/gsea/msigdb/human/geneset/REACTOME_NGF_STIMULATED_TRANSCRIPTION.html" TargetMode="External" /><Relationship Type="http://schemas.openxmlformats.org/officeDocument/2006/relationships/hyperlink" Id="rId54" Target="https://www.gsea-msigdb.org/gsea/msigdb/human/geneset/REACTOME_SIGNALING_BY_NTRKS.html" TargetMode="External" /><Relationship Type="http://schemas.openxmlformats.org/officeDocument/2006/relationships/hyperlink" Id="rId53" Target="https://www.gsea-msigdb.org/gsea/msigdb/human/geneset/REACTOME_SIGNALING_BY_RECEPTOR_TYROSINE_KINASES.html" TargetMode="External" /><Relationship Type="http://schemas.openxmlformats.org/officeDocument/2006/relationships/hyperlink" Id="rId52" Target="https://www.gsea-msigdb.org/gsea/msigdb/human/geneset/WP_PLEURAL_MESOTHELIOMA.html" TargetMode="External" /><Relationship Type="http://schemas.openxmlformats.org/officeDocument/2006/relationships/hyperlink" Id="rId51" Target="https://www.gsea-msigdb.org/gsea/msigdb/human/geneset/WP_WNT_SIGNALING_WP428.html" TargetMode="External" /><Relationship Type="http://schemas.openxmlformats.org/officeDocument/2006/relationships/hyperlink" Id="rId35" Target="https://www.ncbi.nlm.nih.gov/gene/25445" TargetMode="External" /><Relationship Type="http://schemas.openxmlformats.org/officeDocument/2006/relationships/hyperlink" Id="rId34" Target="https://www.ncbi.nlm.nih.gov/gene/8061" TargetMode="External" /><Relationship Type="http://schemas.openxmlformats.org/officeDocument/2006/relationships/hyperlink" Id="rId82" Target="https://www.ncbi.nlm.nih.gov/pubmed/11489794" TargetMode="External" /><Relationship Type="http://schemas.openxmlformats.org/officeDocument/2006/relationships/hyperlink" Id="rId88" Target="https://www.ncbi.nlm.nih.gov/pubmed/12875578" TargetMode="External" /><Relationship Type="http://schemas.openxmlformats.org/officeDocument/2006/relationships/hyperlink" Id="rId75" Target="https://www.ncbi.nlm.nih.gov/pubmed/15306117" TargetMode="External" /><Relationship Type="http://schemas.openxmlformats.org/officeDocument/2006/relationships/hyperlink" Id="rId24" Target="https://www.ncbi.nlm.nih.gov/pubmed/16511166" TargetMode="External" /><Relationship Type="http://schemas.openxmlformats.org/officeDocument/2006/relationships/hyperlink" Id="rId74" Target="https://www.ncbi.nlm.nih.gov/pubmed/20198886" TargetMode="External" /><Relationship Type="http://schemas.openxmlformats.org/officeDocument/2006/relationships/hyperlink" Id="rId72" Target="https://www.ncbi.nlm.nih.gov/pubmed/22235402" TargetMode="External" /><Relationship Type="http://schemas.openxmlformats.org/officeDocument/2006/relationships/hyperlink" Id="rId83" Target="https://www.ncbi.nlm.nih.gov/pubmed/25102410" TargetMode="External" /><Relationship Type="http://schemas.openxmlformats.org/officeDocument/2006/relationships/hyperlink" Id="rId73" Target="https://www.ncbi.nlm.nih.gov/pubmed/25175497" TargetMode="External" /><Relationship Type="http://schemas.openxmlformats.org/officeDocument/2006/relationships/hyperlink" Id="rId77" Target="https://www.ncbi.nlm.nih.gov/pubmed/26330014" TargetMode="External" /><Relationship Type="http://schemas.openxmlformats.org/officeDocument/2006/relationships/hyperlink" Id="rId84" Target="https://www.ncbi.nlm.nih.gov/pubmed/27229157" TargetMode="External" /><Relationship Type="http://schemas.openxmlformats.org/officeDocument/2006/relationships/hyperlink" Id="rId63" Target="https://www.ncbi.nlm.nih.gov/pubmed/28645305" TargetMode="External" /><Relationship Type="http://schemas.openxmlformats.org/officeDocument/2006/relationships/hyperlink" Id="rId71" Target="https://www.ncbi.nlm.nih.gov/pubmed/28653890" TargetMode="External" /><Relationship Type="http://schemas.openxmlformats.org/officeDocument/2006/relationships/hyperlink" Id="rId62" Target="https://www.ncbi.nlm.nih.gov/pubmed/29112457" TargetMode="External" /><Relationship Type="http://schemas.openxmlformats.org/officeDocument/2006/relationships/hyperlink" Id="rId79" Target="https://www.ncbi.nlm.nih.gov/pubmed/29914371" TargetMode="External" /><Relationship Type="http://schemas.openxmlformats.org/officeDocument/2006/relationships/hyperlink" Id="rId76" Target="https://www.ncbi.nlm.nih.gov/pubmed/30935763" TargetMode="External" /><Relationship Type="http://schemas.openxmlformats.org/officeDocument/2006/relationships/hyperlink" Id="rId70" Target="https://www.ncbi.nlm.nih.gov/pubmed/31274473" TargetMode="External" /><Relationship Type="http://schemas.openxmlformats.org/officeDocument/2006/relationships/hyperlink" Id="rId64" Target="https://www.ncbi.nlm.nih.gov/pubmed/31665243" TargetMode="External" /><Relationship Type="http://schemas.openxmlformats.org/officeDocument/2006/relationships/hyperlink" Id="rId87" Target="https://www.ncbi.nlm.nih.gov/pubmed/31672492" TargetMode="External" /><Relationship Type="http://schemas.openxmlformats.org/officeDocument/2006/relationships/hyperlink" Id="rId90" Target="https://www.ncbi.nlm.nih.gov/pubmed/33794365" TargetMode="External" /><Relationship Type="http://schemas.openxmlformats.org/officeDocument/2006/relationships/hyperlink" Id="rId89" Target="https://www.ncbi.nlm.nih.gov/pubmed/34389675" TargetMode="External" /><Relationship Type="http://schemas.openxmlformats.org/officeDocument/2006/relationships/hyperlink" Id="rId78" Target="https://www.ncbi.nlm.nih.gov/pubmed/35978937" TargetMode="External" /><Relationship Type="http://schemas.openxmlformats.org/officeDocument/2006/relationships/hyperlink" Id="rId81" Target="https://www.ncbi.nlm.nih.gov/pubmed/36565807" TargetMode="External" /><Relationship Type="http://schemas.openxmlformats.org/officeDocument/2006/relationships/hyperlink" Id="rId86" Target="https://www.ncbi.nlm.nih.gov/pubmed/36764337" TargetMode="External" /><Relationship Type="http://schemas.openxmlformats.org/officeDocument/2006/relationships/hyperlink" Id="rId22" Target="https://www.ncbi.nlm.nih.gov/pubmed/36926732" TargetMode="External" /><Relationship Type="http://schemas.openxmlformats.org/officeDocument/2006/relationships/hyperlink" Id="rId85" Target="https://www.ncbi.nlm.nih.gov/pubmed/37056868" TargetMode="External" /><Relationship Type="http://schemas.openxmlformats.org/officeDocument/2006/relationships/hyperlink" Id="rId69" Target="https://www.ncbi.nlm.nih.gov/pubmed/37560339" TargetMode="External" /><Relationship Type="http://schemas.openxmlformats.org/officeDocument/2006/relationships/hyperlink" Id="rId80" Target="https://www.ncbi.nlm.nih.gov/pubmed/38172584" TargetMode="External" /><Relationship Type="http://schemas.openxmlformats.org/officeDocument/2006/relationships/hyperlink" Id="rId67" Target="https://www.proteinatlas.org/ENSG00000175592/single+cell+type" TargetMode="External" /><Relationship Type="http://schemas.openxmlformats.org/officeDocument/2006/relationships/hyperlink" Id="rId58" Target="https://www.proteinatlas.org/ENSG00000175592/subcellular" TargetMode="External" /><Relationship Type="http://schemas.openxmlformats.org/officeDocument/2006/relationships/hyperlink" Id="rId66" Target="https://www.proteinatlas.org/ENSG00000175592/tissue" TargetMode="External" /><Relationship Type="http://schemas.openxmlformats.org/officeDocument/2006/relationships/hyperlink" Id="rId40" Target="https://www.uniprot.org/uniprotkb/P10158" TargetMode="External" /><Relationship Type="http://schemas.openxmlformats.org/officeDocument/2006/relationships/hyperlink" Id="rId39" Target="https://www.uniprot.org/uniprotkb/P15407" TargetMode="External" /><Relationship Type="http://schemas.openxmlformats.org/officeDocument/2006/relationships/hyperlink" Id="rId42" Target="https://www.wikigenes.org/e/gene/e/25445.html" TargetMode="External" /><Relationship Type="http://schemas.openxmlformats.org/officeDocument/2006/relationships/hyperlink" Id="rId41" Target="https://www.wikigenes.org/e/gene/e/8061.html" TargetMode="External" /></Relationships>
</file>

<file path=word/_rels/footnotes.xml.rels><?xml version="1.0" encoding="UTF-8"?><Relationships xmlns="http://schemas.openxmlformats.org/package/2006/relationships"><Relationship Type="http://schemas.openxmlformats.org/officeDocument/2006/relationships/hyperlink" Id="rId44" Target="https://alphafold.ebi.ac.uk/entry/P10158" TargetMode="External" /><Relationship Type="http://schemas.openxmlformats.org/officeDocument/2006/relationships/hyperlink" Id="rId43" Target="https://alphafold.ebi.ac.uk/entry/P15407" TargetMode="External" /><Relationship Type="http://schemas.openxmlformats.org/officeDocument/2006/relationships/hyperlink" Id="rId33" Target="https://maayanlab.cloud/Harmonizome/gene/FOSL1" TargetMode="External" /><Relationship Type="http://schemas.openxmlformats.org/officeDocument/2006/relationships/hyperlink" Id="rId46" Target="https://reactome.org/PathwayBrowser/#/R-HSA-9031628" TargetMode="External" /><Relationship Type="http://schemas.openxmlformats.org/officeDocument/2006/relationships/hyperlink" Id="rId38" Target="https://rgd.mcw.edu/rgdweb/report/gene/main.html?id=2627" TargetMode="External" /><Relationship Type="http://schemas.openxmlformats.org/officeDocument/2006/relationships/hyperlink" Id="rId27" Target="https://string-db.org/newstring_cgi/show_edge_details.pl?identifiers=9606.ENSP00000310170%0D9606.ENSP00000245919" TargetMode="External" /><Relationship Type="http://schemas.openxmlformats.org/officeDocument/2006/relationships/hyperlink" Id="rId28" Target="https://string-db.org/newstring_cgi/show_edge_details.pl?identifiers=9606.ENSP00000310170%0D9606.ENSP00000264716" TargetMode="External" /><Relationship Type="http://schemas.openxmlformats.org/officeDocument/2006/relationships/hyperlink" Id="rId29" Target="https://string-db.org/newstring_cgi/show_edge_details.pl?identifiers=9606.ENSP00000310170%0D9606.ENSP00000306245" TargetMode="External" /><Relationship Type="http://schemas.openxmlformats.org/officeDocument/2006/relationships/hyperlink" Id="rId30" Target="https://string-db.org/newstring_cgi/show_edge_details.pl?identifiers=9606.ENSP00000310170%0D9606.ENSP00000384273" TargetMode="External" /><Relationship Type="http://schemas.openxmlformats.org/officeDocument/2006/relationships/hyperlink" Id="rId36" Target="https://useast.ensembl.org/Homo_sapiens/Gene/Summary?g=ENSG00000175592" TargetMode="External" /><Relationship Type="http://schemas.openxmlformats.org/officeDocument/2006/relationships/hyperlink" Id="rId37" Target="https://useast.ensembl.org/Rattus_norvegicus/Gene/Summary?g=ENSRNOG00000020552" TargetMode="External" /><Relationship Type="http://schemas.openxmlformats.org/officeDocument/2006/relationships/hyperlink" Id="rId20" Target="https://www.genecards.org/cgi-bin/carddisp.pl?gene=FOSL1" TargetMode="External" /><Relationship Type="http://schemas.openxmlformats.org/officeDocument/2006/relationships/hyperlink" Id="rId50" Target="https://www.gsea-msigdb.org/gsea/msigdb/human/geneset/KEGG_WNT_SIGNALING_PATHWAY.html" TargetMode="External" /><Relationship Type="http://schemas.openxmlformats.org/officeDocument/2006/relationships/hyperlink" Id="rId49" Target="https://www.gsea-msigdb.org/gsea/msigdb/human/geneset/REACTOME_NGF_STIMULATED_TRANSCRIPTION.html" TargetMode="External" /><Relationship Type="http://schemas.openxmlformats.org/officeDocument/2006/relationships/hyperlink" Id="rId54" Target="https://www.gsea-msigdb.org/gsea/msigdb/human/geneset/REACTOME_SIGNALING_BY_NTRKS.html" TargetMode="External" /><Relationship Type="http://schemas.openxmlformats.org/officeDocument/2006/relationships/hyperlink" Id="rId53" Target="https://www.gsea-msigdb.org/gsea/msigdb/human/geneset/REACTOME_SIGNALING_BY_RECEPTOR_TYROSINE_KINASES.html" TargetMode="External" /><Relationship Type="http://schemas.openxmlformats.org/officeDocument/2006/relationships/hyperlink" Id="rId52" Target="https://www.gsea-msigdb.org/gsea/msigdb/human/geneset/WP_PLEURAL_MESOTHELIOMA.html" TargetMode="External" /><Relationship Type="http://schemas.openxmlformats.org/officeDocument/2006/relationships/hyperlink" Id="rId51" Target="https://www.gsea-msigdb.org/gsea/msigdb/human/geneset/WP_WNT_SIGNALING_WP428.html" TargetMode="External" /><Relationship Type="http://schemas.openxmlformats.org/officeDocument/2006/relationships/hyperlink" Id="rId35" Target="https://www.ncbi.nlm.nih.gov/gene/25445" TargetMode="External" /><Relationship Type="http://schemas.openxmlformats.org/officeDocument/2006/relationships/hyperlink" Id="rId34" Target="https://www.ncbi.nlm.nih.gov/gene/8061" TargetMode="External" /><Relationship Type="http://schemas.openxmlformats.org/officeDocument/2006/relationships/hyperlink" Id="rId82" Target="https://www.ncbi.nlm.nih.gov/pubmed/11489794" TargetMode="External" /><Relationship Type="http://schemas.openxmlformats.org/officeDocument/2006/relationships/hyperlink" Id="rId88" Target="https://www.ncbi.nlm.nih.gov/pubmed/12875578" TargetMode="External" /><Relationship Type="http://schemas.openxmlformats.org/officeDocument/2006/relationships/hyperlink" Id="rId75" Target="https://www.ncbi.nlm.nih.gov/pubmed/15306117" TargetMode="External" /><Relationship Type="http://schemas.openxmlformats.org/officeDocument/2006/relationships/hyperlink" Id="rId24" Target="https://www.ncbi.nlm.nih.gov/pubmed/16511166" TargetMode="External" /><Relationship Type="http://schemas.openxmlformats.org/officeDocument/2006/relationships/hyperlink" Id="rId74" Target="https://www.ncbi.nlm.nih.gov/pubmed/20198886" TargetMode="External" /><Relationship Type="http://schemas.openxmlformats.org/officeDocument/2006/relationships/hyperlink" Id="rId72" Target="https://www.ncbi.nlm.nih.gov/pubmed/22235402" TargetMode="External" /><Relationship Type="http://schemas.openxmlformats.org/officeDocument/2006/relationships/hyperlink" Id="rId83" Target="https://www.ncbi.nlm.nih.gov/pubmed/25102410" TargetMode="External" /><Relationship Type="http://schemas.openxmlformats.org/officeDocument/2006/relationships/hyperlink" Id="rId73" Target="https://www.ncbi.nlm.nih.gov/pubmed/25175497" TargetMode="External" /><Relationship Type="http://schemas.openxmlformats.org/officeDocument/2006/relationships/hyperlink" Id="rId77" Target="https://www.ncbi.nlm.nih.gov/pubmed/26330014" TargetMode="External" /><Relationship Type="http://schemas.openxmlformats.org/officeDocument/2006/relationships/hyperlink" Id="rId84" Target="https://www.ncbi.nlm.nih.gov/pubmed/27229157" TargetMode="External" /><Relationship Type="http://schemas.openxmlformats.org/officeDocument/2006/relationships/hyperlink" Id="rId63" Target="https://www.ncbi.nlm.nih.gov/pubmed/28645305" TargetMode="External" /><Relationship Type="http://schemas.openxmlformats.org/officeDocument/2006/relationships/hyperlink" Id="rId71" Target="https://www.ncbi.nlm.nih.gov/pubmed/28653890" TargetMode="External" /><Relationship Type="http://schemas.openxmlformats.org/officeDocument/2006/relationships/hyperlink" Id="rId62" Target="https://www.ncbi.nlm.nih.gov/pubmed/29112457" TargetMode="External" /><Relationship Type="http://schemas.openxmlformats.org/officeDocument/2006/relationships/hyperlink" Id="rId79" Target="https://www.ncbi.nlm.nih.gov/pubmed/29914371" TargetMode="External" /><Relationship Type="http://schemas.openxmlformats.org/officeDocument/2006/relationships/hyperlink" Id="rId76" Target="https://www.ncbi.nlm.nih.gov/pubmed/30935763" TargetMode="External" /><Relationship Type="http://schemas.openxmlformats.org/officeDocument/2006/relationships/hyperlink" Id="rId70" Target="https://www.ncbi.nlm.nih.gov/pubmed/31274473" TargetMode="External" /><Relationship Type="http://schemas.openxmlformats.org/officeDocument/2006/relationships/hyperlink" Id="rId64" Target="https://www.ncbi.nlm.nih.gov/pubmed/31665243" TargetMode="External" /><Relationship Type="http://schemas.openxmlformats.org/officeDocument/2006/relationships/hyperlink" Id="rId87" Target="https://www.ncbi.nlm.nih.gov/pubmed/31672492" TargetMode="External" /><Relationship Type="http://schemas.openxmlformats.org/officeDocument/2006/relationships/hyperlink" Id="rId90" Target="https://www.ncbi.nlm.nih.gov/pubmed/33794365" TargetMode="External" /><Relationship Type="http://schemas.openxmlformats.org/officeDocument/2006/relationships/hyperlink" Id="rId89" Target="https://www.ncbi.nlm.nih.gov/pubmed/34389675" TargetMode="External" /><Relationship Type="http://schemas.openxmlformats.org/officeDocument/2006/relationships/hyperlink" Id="rId78" Target="https://www.ncbi.nlm.nih.gov/pubmed/35978937" TargetMode="External" /><Relationship Type="http://schemas.openxmlformats.org/officeDocument/2006/relationships/hyperlink" Id="rId81" Target="https://www.ncbi.nlm.nih.gov/pubmed/36565807" TargetMode="External" /><Relationship Type="http://schemas.openxmlformats.org/officeDocument/2006/relationships/hyperlink" Id="rId86" Target="https://www.ncbi.nlm.nih.gov/pubmed/36764337" TargetMode="External" /><Relationship Type="http://schemas.openxmlformats.org/officeDocument/2006/relationships/hyperlink" Id="rId22" Target="https://www.ncbi.nlm.nih.gov/pubmed/36926732" TargetMode="External" /><Relationship Type="http://schemas.openxmlformats.org/officeDocument/2006/relationships/hyperlink" Id="rId85" Target="https://www.ncbi.nlm.nih.gov/pubmed/37056868" TargetMode="External" /><Relationship Type="http://schemas.openxmlformats.org/officeDocument/2006/relationships/hyperlink" Id="rId69" Target="https://www.ncbi.nlm.nih.gov/pubmed/37560339" TargetMode="External" /><Relationship Type="http://schemas.openxmlformats.org/officeDocument/2006/relationships/hyperlink" Id="rId80" Target="https://www.ncbi.nlm.nih.gov/pubmed/38172584" TargetMode="External" /><Relationship Type="http://schemas.openxmlformats.org/officeDocument/2006/relationships/hyperlink" Id="rId67" Target="https://www.proteinatlas.org/ENSG00000175592/single+cell+type" TargetMode="External" /><Relationship Type="http://schemas.openxmlformats.org/officeDocument/2006/relationships/hyperlink" Id="rId58" Target="https://www.proteinatlas.org/ENSG00000175592/subcellular" TargetMode="External" /><Relationship Type="http://schemas.openxmlformats.org/officeDocument/2006/relationships/hyperlink" Id="rId66" Target="https://www.proteinatlas.org/ENSG00000175592/tissue" TargetMode="External" /><Relationship Type="http://schemas.openxmlformats.org/officeDocument/2006/relationships/hyperlink" Id="rId40" Target="https://www.uniprot.org/uniprotkb/P10158" TargetMode="External" /><Relationship Type="http://schemas.openxmlformats.org/officeDocument/2006/relationships/hyperlink" Id="rId39" Target="https://www.uniprot.org/uniprotkb/P15407" TargetMode="External" /><Relationship Type="http://schemas.openxmlformats.org/officeDocument/2006/relationships/hyperlink" Id="rId42" Target="https://www.wikigenes.org/e/gene/e/25445.html" TargetMode="External" /><Relationship Type="http://schemas.openxmlformats.org/officeDocument/2006/relationships/hyperlink" Id="rId41" Target="https://www.wikigenes.org/e/gene/e/806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2025-03-12T03:42:56Z</dcterms:created>
  <dcterms:modified xsi:type="dcterms:W3CDTF">2025-03-12T03:42:56Z</dcterms:modified>
</cp:coreProperties>
</file>

<file path=docProps/custom.xml><?xml version="1.0" encoding="utf-8"?>
<Properties xmlns="http://schemas.openxmlformats.org/officeDocument/2006/custom-properties" xmlns:vt="http://schemas.openxmlformats.org/officeDocument/2006/docPropsVTypes"/>
</file>