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442A18">
      <w:pPr>
        <w:pStyle w:val="TitlePage"/>
      </w:pPr>
      <w:r w:rsidRPr="00EC7E95">
        <w:t>BMDS Wizard Ou</w:t>
      </w:r>
      <w:r>
        <w:t>tp</w:t>
      </w:r>
      <w:r w:rsidRPr="00EC7E95">
        <w:t>ut Report</w:t>
      </w:r>
    </w:p>
    <w:p w:rsidR="00442A18" w:rsidRDefault="00442A18" w:rsidP="00442A18">
      <w:pPr>
        <w:pStyle w:val="TitlePage"/>
      </w:pPr>
      <w:bookmarkStart w:id="0" w:name="_GoBack"/>
      <w:bookmarkEnd w:id="0"/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7B7005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7B7005" w:rsidRPr="007B7005">
        <w:t>1/19/2016 9:06:56 AM</w:t>
      </w:r>
    </w:p>
    <w:p w:rsidR="006A109E" w:rsidRDefault="007B700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7764" w:history="1">
        <w:r w:rsidR="006A109E" w:rsidRPr="003C001D">
          <w:rPr>
            <w:rStyle w:val="Hyperlink"/>
            <w:rFonts w:ascii="Times New Roman" w:hAnsi="Times New Roman"/>
            <w:noProof/>
          </w:rPr>
          <w:t>1.1.</w:t>
        </w:r>
        <w:r w:rsidR="006A109E" w:rsidRPr="003C001D">
          <w:rPr>
            <w:rStyle w:val="Hyperlink"/>
            <w:noProof/>
          </w:rPr>
          <w:t xml:space="preserve"> BMDS Summary of Female Rat Hyperplasia Sebaceous Gland (Cedarwood Oil)</w:t>
        </w:r>
        <w:r w:rsidR="006A109E">
          <w:rPr>
            <w:noProof/>
            <w:webHidden/>
          </w:rPr>
          <w:tab/>
        </w:r>
        <w:r w:rsidR="006A109E">
          <w:rPr>
            <w:noProof/>
            <w:webHidden/>
          </w:rPr>
          <w:fldChar w:fldCharType="begin"/>
        </w:r>
        <w:r w:rsidR="006A109E">
          <w:rPr>
            <w:noProof/>
            <w:webHidden/>
          </w:rPr>
          <w:instrText xml:space="preserve"> PAGEREF _Toc440957764 \h </w:instrText>
        </w:r>
        <w:r w:rsidR="006A109E">
          <w:rPr>
            <w:noProof/>
            <w:webHidden/>
          </w:rPr>
        </w:r>
        <w:r w:rsidR="006A109E">
          <w:rPr>
            <w:noProof/>
            <w:webHidden/>
          </w:rPr>
          <w:fldChar w:fldCharType="separate"/>
        </w:r>
        <w:r w:rsidR="006A109E">
          <w:rPr>
            <w:noProof/>
            <w:webHidden/>
          </w:rPr>
          <w:t>2</w:t>
        </w:r>
        <w:r w:rsidR="006A109E">
          <w:rPr>
            <w:noProof/>
            <w:webHidden/>
          </w:rPr>
          <w:fldChar w:fldCharType="end"/>
        </w:r>
      </w:hyperlink>
    </w:p>
    <w:p w:rsidR="008F7846" w:rsidRDefault="007B7005" w:rsidP="00EC7E95">
      <w:pPr>
        <w:pStyle w:val="Text"/>
      </w:pPr>
      <w:r>
        <w:fldChar w:fldCharType="end"/>
      </w:r>
    </w:p>
    <w:tbl>
      <w:tblPr>
        <w:tblW w:w="9329" w:type="dxa"/>
        <w:tblInd w:w="113" w:type="dxa"/>
        <w:tblLook w:val="04A0" w:firstRow="1" w:lastRow="0" w:firstColumn="1" w:lastColumn="0" w:noHBand="0" w:noVBand="1"/>
      </w:tblPr>
      <w:tblGrid>
        <w:gridCol w:w="1078"/>
        <w:gridCol w:w="1347"/>
        <w:gridCol w:w="2386"/>
        <w:gridCol w:w="3574"/>
        <w:gridCol w:w="1078"/>
      </w:tblGrid>
      <w:tr w:rsidR="008F7846" w:rsidRPr="008F7846" w:rsidTr="008F7846">
        <w:trPr>
          <w:trHeight w:val="131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8F7846" w:rsidRPr="008F7846" w:rsidRDefault="008F7846" w:rsidP="008F78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8F7846" w:rsidRPr="008F7846" w:rsidRDefault="008F7846" w:rsidP="008F78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8F7846" w:rsidRPr="008F7846" w:rsidRDefault="008F7846" w:rsidP="008F78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8F7846" w:rsidRPr="008F7846" w:rsidRDefault="008F7846" w:rsidP="008F78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8F7846" w:rsidRPr="008F7846" w:rsidRDefault="008F7846" w:rsidP="008F784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AIC)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F7846" w:rsidRPr="008F7846" w:rsidTr="008F7846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F7846">
              <w:rPr>
                <w:rFonts w:ascii="Arial" w:eastAsia="Times New Roman" w:hAnsi="Arial" w:cs="Arial"/>
                <w:sz w:val="20"/>
                <w:szCs w:val="20"/>
              </w:rPr>
              <w:t>|Residual for Dose Group Near BMD| &gt; 2</w:t>
            </w:r>
            <w:r w:rsidRPr="008F784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F7846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8F784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F7846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  <w:r w:rsidRPr="008F784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F7846">
              <w:rPr>
                <w:rFonts w:ascii="Arial" w:eastAsia="Times New Roman" w:hAnsi="Arial" w:cs="Arial"/>
                <w:sz w:val="20"/>
                <w:szCs w:val="20"/>
              </w:rPr>
              <w:br/>
              <w:t>|Residual at control| &gt; 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F7846" w:rsidRPr="008F7846" w:rsidRDefault="008F7846" w:rsidP="008F7846">
            <w:pPr>
              <w:rPr>
                <w:rFonts w:ascii="Calibri" w:eastAsia="Times New Roman" w:hAnsi="Calibri" w:cs="Arial"/>
                <w:color w:val="000000"/>
              </w:rPr>
            </w:pPr>
            <w:r w:rsidRPr="008F7846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7B7005" w:rsidRDefault="007B7005" w:rsidP="00EC7E95">
      <w:pPr>
        <w:pStyle w:val="Text"/>
      </w:pPr>
    </w:p>
    <w:p w:rsidR="007B7005" w:rsidRDefault="007B7005">
      <w:pPr>
        <w:rPr>
          <w:szCs w:val="24"/>
        </w:rPr>
      </w:pPr>
      <w:r>
        <w:br w:type="page"/>
      </w:r>
    </w:p>
    <w:p w:rsidR="00EC7E95" w:rsidRDefault="007B7005" w:rsidP="007B7005">
      <w:pPr>
        <w:pStyle w:val="Heading2"/>
      </w:pPr>
      <w:bookmarkStart w:id="1" w:name="_Toc440957764"/>
      <w:r>
        <w:lastRenderedPageBreak/>
        <w:t>BMDS Summary of Female Rat Hyperplasia Sebaceous Gland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7B7005" w:rsidRDefault="007B7005" w:rsidP="007B7005">
      <w:pPr>
        <w:pStyle w:val="Text"/>
      </w:pPr>
    </w:p>
    <w:p w:rsidR="007B7005" w:rsidRDefault="007B7005" w:rsidP="007B7005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442A18">
        <w:fldChar w:fldCharType="begin"/>
      </w:r>
      <w:r w:rsidR="00442A18">
        <w:instrText xml:space="preserve"> SEQ Table \* ARABIC </w:instrText>
      </w:r>
      <w:r w:rsidR="00442A18">
        <w:fldChar w:fldCharType="separate"/>
      </w:r>
      <w:r w:rsidR="006A109E">
        <w:rPr>
          <w:noProof/>
        </w:rPr>
        <w:t>1</w:t>
      </w:r>
      <w:r w:rsidR="00442A18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Female Rat Hyperplasia Sebaceous Gland</w:t>
      </w:r>
      <w:bookmarkStart w:id="3" w:name="_temp2_"/>
      <w:bookmarkEnd w:id="3"/>
    </w:p>
    <w:p w:rsidR="007B7005" w:rsidRDefault="007B7005" w:rsidP="007B7005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7B7005" w:rsidTr="007B7005">
        <w:tc>
          <w:tcPr>
            <w:tcW w:w="1800" w:type="dxa"/>
            <w:vMerge w:val="restart"/>
            <w:shd w:val="clear" w:color="auto" w:fill="auto"/>
          </w:tcPr>
          <w:p w:rsidR="007B7005" w:rsidRDefault="007B7005" w:rsidP="007B7005">
            <w:pPr>
              <w:pStyle w:val="TableHeading"/>
            </w:pPr>
            <w:proofErr w:type="spellStart"/>
            <w:r>
              <w:t>Model</w:t>
            </w:r>
            <w:r w:rsidRPr="007B7005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7B7005" w:rsidRDefault="007B7005" w:rsidP="007B7005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B7005" w:rsidRDefault="007B7005" w:rsidP="007B7005">
            <w:pPr>
              <w:pStyle w:val="TableHeading"/>
            </w:pPr>
            <w:r>
              <w:t>BMD</w:t>
            </w:r>
            <w:r w:rsidRPr="007B7005">
              <w:rPr>
                <w:vertAlign w:val="subscript"/>
              </w:rPr>
              <w:t>10Pct</w:t>
            </w:r>
            <w:r>
              <w:t xml:space="preserve"> </w:t>
            </w:r>
          </w:p>
          <w:p w:rsidR="007B7005" w:rsidRDefault="007B7005" w:rsidP="007B7005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B7005" w:rsidRDefault="007B7005" w:rsidP="007B7005">
            <w:pPr>
              <w:pStyle w:val="TableHeading"/>
            </w:pPr>
            <w:r>
              <w:t>BMDL</w:t>
            </w:r>
            <w:r w:rsidRPr="007B7005">
              <w:rPr>
                <w:vertAlign w:val="subscript"/>
              </w:rPr>
              <w:t>10Pct</w:t>
            </w:r>
            <w:r>
              <w:t xml:space="preserve"> </w:t>
            </w:r>
          </w:p>
          <w:p w:rsidR="007B7005" w:rsidRDefault="007B7005" w:rsidP="007B7005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7B7005" w:rsidRDefault="007B7005" w:rsidP="007B7005">
            <w:pPr>
              <w:pStyle w:val="TableHeading"/>
            </w:pPr>
            <w:r>
              <w:t>Basis for model selection</w:t>
            </w:r>
          </w:p>
        </w:tc>
      </w:tr>
      <w:tr w:rsidR="007B7005" w:rsidTr="007B7005">
        <w:tc>
          <w:tcPr>
            <w:tcW w:w="1800" w:type="dxa"/>
            <w:vMerge/>
            <w:shd w:val="clear" w:color="auto" w:fill="auto"/>
          </w:tcPr>
          <w:p w:rsidR="007B7005" w:rsidRDefault="007B7005" w:rsidP="007B7005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Heading"/>
            </w:pPr>
            <w:r w:rsidRPr="007B7005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7B7005" w:rsidRDefault="007B7005" w:rsidP="007B7005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7B7005" w:rsidRDefault="007B7005" w:rsidP="007B7005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Heading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0.966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24.785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8.62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5.17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r>
              <w:t>Dichotomous-Hill</w:t>
            </w:r>
          </w:p>
          <w:p w:rsidR="007B7005" w:rsidRDefault="007B7005" w:rsidP="007B7005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0.975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24.687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8.84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5.81</w:t>
            </w: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0.799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26.243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8.43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5.34</w:t>
            </w: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0.833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25.930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8.37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5.12</w:t>
            </w: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0.988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24.432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8.82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5.88</w:t>
            </w: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0.910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25.465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7.94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4.34</w:t>
            </w: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0.882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25.544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8.32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3.14</w:t>
            </w: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0.882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25.544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8.32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3.36</w:t>
            </w: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shd w:val="clear" w:color="auto" w:fill="auto"/>
          </w:tcPr>
          <w:p w:rsidR="007B7005" w:rsidRDefault="007B7005" w:rsidP="007B7005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0.918</w:t>
            </w:r>
          </w:p>
        </w:tc>
        <w:tc>
          <w:tcPr>
            <w:tcW w:w="90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24.577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5.82</w:t>
            </w:r>
          </w:p>
        </w:tc>
        <w:tc>
          <w:tcPr>
            <w:tcW w:w="1440" w:type="dxa"/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3.21</w:t>
            </w:r>
          </w:p>
        </w:tc>
        <w:tc>
          <w:tcPr>
            <w:tcW w:w="2880" w:type="dxa"/>
            <w:vMerge/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7B7005" w:rsidRDefault="007B7005" w:rsidP="007B7005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0.265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32.114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1.90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7B7005" w:rsidRDefault="007B7005" w:rsidP="007B7005">
            <w:pPr>
              <w:pStyle w:val="TableNumbers"/>
            </w:pPr>
            <w:r>
              <w:t>1.30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7B7005" w:rsidRDefault="007B7005" w:rsidP="007B7005">
            <w:pPr>
              <w:pStyle w:val="TableText"/>
            </w:pPr>
          </w:p>
        </w:tc>
      </w:tr>
      <w:tr w:rsidR="007B7005" w:rsidTr="007B7005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005" w:rsidRDefault="007B7005" w:rsidP="007B7005">
            <w:pPr>
              <w:pStyle w:val="TableNote"/>
            </w:pPr>
            <w:proofErr w:type="gramStart"/>
            <w:r w:rsidRPr="007B7005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</w:tc>
      </w:tr>
    </w:tbl>
    <w:p w:rsidR="007B7005" w:rsidRDefault="007B7005" w:rsidP="007B7005"/>
    <w:p w:rsidR="007B7005" w:rsidRPr="007B7005" w:rsidRDefault="007B7005" w:rsidP="007B7005"/>
    <w:sectPr w:rsidR="007B7005" w:rsidRPr="007B7005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2C" w:rsidRDefault="00F4492C" w:rsidP="0092473F">
      <w:r>
        <w:separator/>
      </w:r>
    </w:p>
  </w:endnote>
  <w:endnote w:type="continuationSeparator" w:id="0">
    <w:p w:rsidR="00F4492C" w:rsidRDefault="00F4492C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49FCD411" wp14:editId="03606FB7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25AA634C" wp14:editId="14B02DB5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442A18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2C" w:rsidRDefault="00F4492C" w:rsidP="0092473F">
      <w:r>
        <w:separator/>
      </w:r>
    </w:p>
  </w:footnote>
  <w:footnote w:type="continuationSeparator" w:id="0">
    <w:p w:rsidR="00F4492C" w:rsidRDefault="00F4492C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5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2A18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A109E"/>
    <w:rsid w:val="006D0BC7"/>
    <w:rsid w:val="006D3B46"/>
    <w:rsid w:val="0072065D"/>
    <w:rsid w:val="00726D65"/>
    <w:rsid w:val="00735699"/>
    <w:rsid w:val="007771B7"/>
    <w:rsid w:val="007A1C4E"/>
    <w:rsid w:val="007B52DC"/>
    <w:rsid w:val="007B7005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8F7846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4492C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70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70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700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70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0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0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7B70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B70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B7005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70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70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700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70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0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0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7B70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B70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B700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0D80650-6E9A-4770-9900-129AA94C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3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10</vt:lpstr>
    </vt:vector>
  </TitlesOfParts>
  <Company>NIEHS</Company>
  <LinksUpToDate>false</LinksUpToDate>
  <CharactersWithSpaces>1685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10</dc:title>
  <dc:subject>Catlin NR. FoodChemToxicol. 2016</dc:subject>
  <dc:creator>Natasha Catlin</dc:creator>
  <cp:lastModifiedBy>Xiaohua Gao</cp:lastModifiedBy>
  <cp:revision>4</cp:revision>
  <dcterms:created xsi:type="dcterms:W3CDTF">2016-01-19T14:06:00Z</dcterms:created>
  <dcterms:modified xsi:type="dcterms:W3CDTF">2017-03-03T15:52:00Z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