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5A02DA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5A02DA" w:rsidRDefault="005A02DA" w:rsidP="005A02DA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836371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836371" w:rsidRPr="00836371">
        <w:t>1/19/2016 8:25:53 AM</w:t>
      </w:r>
    </w:p>
    <w:p w:rsidR="007E516F" w:rsidRDefault="0083637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5295" w:history="1">
        <w:r w:rsidR="007E516F" w:rsidRPr="005466B6">
          <w:rPr>
            <w:rStyle w:val="Hyperlink"/>
            <w:rFonts w:ascii="Times New Roman" w:hAnsi="Times New Roman"/>
            <w:noProof/>
          </w:rPr>
          <w:t>1.1.</w:t>
        </w:r>
        <w:r w:rsidR="007E516F" w:rsidRPr="005466B6">
          <w:rPr>
            <w:rStyle w:val="Hyperlink"/>
            <w:noProof/>
          </w:rPr>
          <w:t xml:space="preserve"> BMDS Summary of Male Rat Hyperplasia Edpidermal (Cedarwood Oil)</w:t>
        </w:r>
        <w:r w:rsidR="007E516F">
          <w:rPr>
            <w:noProof/>
            <w:webHidden/>
          </w:rPr>
          <w:tab/>
        </w:r>
        <w:r w:rsidR="007E516F">
          <w:rPr>
            <w:noProof/>
            <w:webHidden/>
          </w:rPr>
          <w:fldChar w:fldCharType="begin"/>
        </w:r>
        <w:r w:rsidR="007E516F">
          <w:rPr>
            <w:noProof/>
            <w:webHidden/>
          </w:rPr>
          <w:instrText xml:space="preserve"> PAGEREF _Toc440955295 \h </w:instrText>
        </w:r>
        <w:r w:rsidR="007E516F">
          <w:rPr>
            <w:noProof/>
            <w:webHidden/>
          </w:rPr>
        </w:r>
        <w:r w:rsidR="007E516F">
          <w:rPr>
            <w:noProof/>
            <w:webHidden/>
          </w:rPr>
          <w:fldChar w:fldCharType="separate"/>
        </w:r>
        <w:r w:rsidR="007E516F">
          <w:rPr>
            <w:noProof/>
            <w:webHidden/>
          </w:rPr>
          <w:t>2</w:t>
        </w:r>
        <w:r w:rsidR="007E516F">
          <w:rPr>
            <w:noProof/>
            <w:webHidden/>
          </w:rPr>
          <w:fldChar w:fldCharType="end"/>
        </w:r>
      </w:hyperlink>
    </w:p>
    <w:p w:rsidR="00B370EB" w:rsidRDefault="00836371" w:rsidP="00EC7E95">
      <w:pPr>
        <w:pStyle w:val="Text"/>
      </w:pPr>
      <w:r>
        <w:fldChar w:fldCharType="end"/>
      </w:r>
    </w:p>
    <w:tbl>
      <w:tblPr>
        <w:tblW w:w="8407" w:type="dxa"/>
        <w:tblInd w:w="113" w:type="dxa"/>
        <w:tblLook w:val="04A0" w:firstRow="1" w:lastRow="0" w:firstColumn="1" w:lastColumn="0" w:noHBand="0" w:noVBand="1"/>
      </w:tblPr>
      <w:tblGrid>
        <w:gridCol w:w="1412"/>
        <w:gridCol w:w="2511"/>
        <w:gridCol w:w="3768"/>
        <w:gridCol w:w="1128"/>
      </w:tblGrid>
      <w:tr w:rsidR="00B370EB" w:rsidRPr="00B370EB" w:rsidTr="00B370EB">
        <w:trPr>
          <w:trHeight w:val="131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B370EB" w:rsidRPr="00B370EB" w:rsidRDefault="00B370EB" w:rsidP="00B370E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B370EB" w:rsidRPr="00B370EB" w:rsidRDefault="00B370EB" w:rsidP="00B370E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B370EB" w:rsidRPr="00B370EB" w:rsidRDefault="00B370EB" w:rsidP="00B370E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B370EB" w:rsidRPr="00B370EB" w:rsidRDefault="00B370EB" w:rsidP="00B370E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B370EB" w:rsidRPr="00B370EB" w:rsidTr="00B370EB">
        <w:trPr>
          <w:trHeight w:val="285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  <w:t>BMD 3x lower than lowest non-zero dose</w:t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70EB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Calibri" w:eastAsia="Times New Roman" w:hAnsi="Calibri" w:cs="Arial"/>
                <w:color w:val="000000"/>
              </w:rPr>
            </w:pPr>
            <w:r w:rsidRPr="00B370EB">
              <w:rPr>
                <w:rFonts w:ascii="Calibri" w:eastAsia="Times New Roman" w:hAnsi="Calibri" w:cs="Arial"/>
                <w:color w:val="000000"/>
              </w:rPr>
              <w:lastRenderedPageBreak/>
              <w:t>Include</w:t>
            </w:r>
          </w:p>
        </w:tc>
      </w:tr>
    </w:tbl>
    <w:p w:rsidR="00836371" w:rsidRDefault="00836371" w:rsidP="00EC7E95">
      <w:pPr>
        <w:pStyle w:val="Text"/>
      </w:pPr>
    </w:p>
    <w:p w:rsidR="00836371" w:rsidRDefault="00836371">
      <w:pPr>
        <w:rPr>
          <w:szCs w:val="24"/>
        </w:rPr>
      </w:pPr>
      <w:r>
        <w:br w:type="page"/>
      </w:r>
    </w:p>
    <w:p w:rsidR="00EC7E95" w:rsidRDefault="00836371" w:rsidP="00836371">
      <w:pPr>
        <w:pStyle w:val="Heading2"/>
      </w:pPr>
      <w:bookmarkStart w:id="1" w:name="_Toc440955295"/>
      <w:r>
        <w:lastRenderedPageBreak/>
        <w:t xml:space="preserve">BMDS Summary of Male Rat Hyperplasia </w:t>
      </w:r>
      <w:proofErr w:type="spellStart"/>
      <w:r>
        <w:t>Edpidermal</w:t>
      </w:r>
      <w:proofErr w:type="spellEnd"/>
      <w:r>
        <w:t xml:space="preserve">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836371" w:rsidRDefault="00836371" w:rsidP="00836371">
      <w:pPr>
        <w:pStyle w:val="Text"/>
      </w:pPr>
    </w:p>
    <w:p w:rsidR="00836371" w:rsidRDefault="00836371" w:rsidP="00836371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5A02DA">
        <w:fldChar w:fldCharType="begin"/>
      </w:r>
      <w:r w:rsidR="005A02DA">
        <w:instrText xml:space="preserve"> SEQ Table \* ARABIC </w:instrText>
      </w:r>
      <w:r w:rsidR="005A02DA">
        <w:fldChar w:fldCharType="separate"/>
      </w:r>
      <w:r w:rsidR="007E516F">
        <w:rPr>
          <w:noProof/>
        </w:rPr>
        <w:t>1</w:t>
      </w:r>
      <w:r w:rsidR="005A02DA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Male Rat Hyperplasia Epidermal</w:t>
      </w:r>
      <w:bookmarkStart w:id="3" w:name="_temp2_"/>
      <w:bookmarkEnd w:id="3"/>
    </w:p>
    <w:p w:rsidR="00836371" w:rsidRDefault="00836371" w:rsidP="00836371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836371" w:rsidTr="00836371">
        <w:tc>
          <w:tcPr>
            <w:tcW w:w="1800" w:type="dxa"/>
            <w:vMerge w:val="restart"/>
            <w:shd w:val="clear" w:color="auto" w:fill="auto"/>
          </w:tcPr>
          <w:p w:rsidR="00836371" w:rsidRDefault="00836371" w:rsidP="00836371">
            <w:pPr>
              <w:pStyle w:val="TableHeading"/>
            </w:pPr>
            <w:proofErr w:type="spellStart"/>
            <w:r>
              <w:t>Model</w:t>
            </w:r>
            <w:r w:rsidRPr="00836371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836371" w:rsidRDefault="00836371" w:rsidP="00836371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6371" w:rsidRDefault="00836371" w:rsidP="00836371">
            <w:pPr>
              <w:pStyle w:val="TableHeading"/>
            </w:pPr>
            <w:r>
              <w:t>BMD</w:t>
            </w:r>
            <w:r w:rsidRPr="00836371">
              <w:rPr>
                <w:vertAlign w:val="subscript"/>
              </w:rPr>
              <w:t>10Pct</w:t>
            </w:r>
            <w:r>
              <w:t xml:space="preserve"> </w:t>
            </w:r>
          </w:p>
          <w:p w:rsidR="00836371" w:rsidRDefault="00836371" w:rsidP="00836371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6371" w:rsidRDefault="00836371" w:rsidP="00836371">
            <w:pPr>
              <w:pStyle w:val="TableHeading"/>
            </w:pPr>
            <w:r>
              <w:t>BMDL</w:t>
            </w:r>
            <w:r w:rsidRPr="00836371">
              <w:rPr>
                <w:vertAlign w:val="subscript"/>
              </w:rPr>
              <w:t>10Pct</w:t>
            </w:r>
            <w:r>
              <w:t xml:space="preserve"> </w:t>
            </w:r>
          </w:p>
          <w:p w:rsidR="00836371" w:rsidRDefault="00836371" w:rsidP="00836371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836371" w:rsidRDefault="00836371" w:rsidP="00836371">
            <w:pPr>
              <w:pStyle w:val="TableHeading"/>
            </w:pPr>
            <w:r>
              <w:t>Basis for model selection</w:t>
            </w:r>
          </w:p>
        </w:tc>
      </w:tr>
      <w:tr w:rsidR="00836371" w:rsidTr="00836371">
        <w:tc>
          <w:tcPr>
            <w:tcW w:w="1800" w:type="dxa"/>
            <w:vMerge/>
            <w:shd w:val="clear" w:color="auto" w:fill="auto"/>
          </w:tcPr>
          <w:p w:rsidR="00836371" w:rsidRDefault="00836371" w:rsidP="00836371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Heading"/>
            </w:pPr>
            <w:r w:rsidRPr="00836371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836371" w:rsidRDefault="00836371" w:rsidP="00836371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836371" w:rsidRDefault="00836371" w:rsidP="00836371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836371" w:rsidRDefault="00836371" w:rsidP="00836371">
            <w:pPr>
              <w:pStyle w:val="TableHeading"/>
            </w:pPr>
          </w:p>
        </w:tc>
      </w:tr>
      <w:tr w:rsidR="00836371" w:rsidTr="00836371">
        <w:tc>
          <w:tcPr>
            <w:tcW w:w="1800" w:type="dxa"/>
            <w:shd w:val="clear" w:color="auto" w:fill="auto"/>
          </w:tcPr>
          <w:p w:rsidR="00836371" w:rsidRDefault="00836371" w:rsidP="00836371">
            <w:pPr>
              <w:pStyle w:val="TableText"/>
            </w:pPr>
            <w:proofErr w:type="spellStart"/>
            <w:r>
              <w:t>Gamma</w:t>
            </w:r>
            <w:r w:rsidRPr="00836371">
              <w:rPr>
                <w:vertAlign w:val="superscript"/>
              </w:rPr>
              <w:t>b</w:t>
            </w:r>
            <w:proofErr w:type="spellEnd"/>
          </w:p>
          <w:p w:rsidR="00836371" w:rsidRDefault="00836371" w:rsidP="00836371">
            <w:pPr>
              <w:pStyle w:val="TableText"/>
            </w:pPr>
            <w:proofErr w:type="spellStart"/>
            <w:r>
              <w:t>Weibull</w:t>
            </w:r>
            <w:r w:rsidRPr="00836371">
              <w:rPr>
                <w:vertAlign w:val="superscript"/>
              </w:rPr>
              <w:t>c</w:t>
            </w:r>
            <w:proofErr w:type="spellEnd"/>
          </w:p>
          <w:p w:rsidR="00836371" w:rsidRDefault="00836371" w:rsidP="00836371">
            <w:pPr>
              <w:pStyle w:val="TableText"/>
            </w:pPr>
            <w:r>
              <w:t>Multistage 4°</w:t>
            </w:r>
            <w:r w:rsidRPr="00836371">
              <w:rPr>
                <w:vertAlign w:val="superscript"/>
              </w:rPr>
              <w:t>d</w:t>
            </w:r>
          </w:p>
          <w:p w:rsidR="00836371" w:rsidRDefault="00836371" w:rsidP="00836371">
            <w:pPr>
              <w:pStyle w:val="TableText"/>
            </w:pPr>
            <w:r>
              <w:t>Multistage 3°</w:t>
            </w:r>
            <w:r w:rsidRPr="00836371">
              <w:rPr>
                <w:vertAlign w:val="superscript"/>
              </w:rPr>
              <w:t>e</w:t>
            </w:r>
          </w:p>
          <w:p w:rsidR="00836371" w:rsidRDefault="00836371" w:rsidP="00836371">
            <w:pPr>
              <w:pStyle w:val="TableText"/>
            </w:pPr>
            <w:r>
              <w:t>Multistage 2°</w:t>
            </w:r>
          </w:p>
          <w:p w:rsidR="00836371" w:rsidRDefault="00836371" w:rsidP="00836371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6.00E-04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44.441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2.02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1.43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1800" w:type="dxa"/>
            <w:shd w:val="clear" w:color="auto" w:fill="auto"/>
          </w:tcPr>
          <w:p w:rsidR="00836371" w:rsidRDefault="00836371" w:rsidP="00836371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0.224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41.343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5.87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2.96</w:t>
            </w:r>
          </w:p>
        </w:tc>
        <w:tc>
          <w:tcPr>
            <w:tcW w:w="2880" w:type="dxa"/>
            <w:vMerge/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1800" w:type="dxa"/>
            <w:shd w:val="clear" w:color="auto" w:fill="auto"/>
          </w:tcPr>
          <w:p w:rsidR="00836371" w:rsidRDefault="00836371" w:rsidP="00836371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55.569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5.30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3.65</w:t>
            </w:r>
          </w:p>
        </w:tc>
        <w:tc>
          <w:tcPr>
            <w:tcW w:w="2880" w:type="dxa"/>
            <w:vMerge/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1800" w:type="dxa"/>
            <w:shd w:val="clear" w:color="auto" w:fill="auto"/>
          </w:tcPr>
          <w:p w:rsidR="00836371" w:rsidRDefault="00836371" w:rsidP="00836371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0.0324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42.050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4.22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1.59</w:t>
            </w:r>
          </w:p>
        </w:tc>
        <w:tc>
          <w:tcPr>
            <w:tcW w:w="2880" w:type="dxa"/>
            <w:vMerge/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1800" w:type="dxa"/>
            <w:shd w:val="clear" w:color="auto" w:fill="auto"/>
          </w:tcPr>
          <w:p w:rsidR="00836371" w:rsidRDefault="00836371" w:rsidP="00836371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60.061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6.41</w:t>
            </w:r>
          </w:p>
        </w:tc>
        <w:tc>
          <w:tcPr>
            <w:tcW w:w="1440" w:type="dxa"/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4.66</w:t>
            </w:r>
          </w:p>
        </w:tc>
        <w:tc>
          <w:tcPr>
            <w:tcW w:w="2880" w:type="dxa"/>
            <w:vMerge/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0.0254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43.421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3.61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Numbers"/>
            </w:pPr>
            <w:r>
              <w:t>1.22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836371" w:rsidRDefault="00836371" w:rsidP="00836371">
            <w:pPr>
              <w:pStyle w:val="TableText"/>
            </w:pPr>
          </w:p>
        </w:tc>
      </w:tr>
      <w:tr w:rsidR="00836371" w:rsidTr="00836371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6371" w:rsidRDefault="00836371" w:rsidP="00836371">
            <w:pPr>
              <w:pStyle w:val="TableNote"/>
            </w:pPr>
            <w:proofErr w:type="gramStart"/>
            <w:r w:rsidRPr="00836371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  <w:p w:rsidR="00836371" w:rsidRDefault="00836371" w:rsidP="00836371">
            <w:pPr>
              <w:pStyle w:val="TableNote"/>
            </w:pPr>
            <w:proofErr w:type="gramStart"/>
            <w:r w:rsidRPr="00836371">
              <w:rPr>
                <w:vertAlign w:val="superscript"/>
              </w:rPr>
              <w:t>b</w:t>
            </w:r>
            <w:proofErr w:type="gramEnd"/>
            <w:r>
              <w:t xml:space="preserve"> For the Gamma and </w:t>
            </w:r>
            <w:proofErr w:type="spellStart"/>
            <w:r>
              <w:t>Weibull</w:t>
            </w:r>
            <w:proofErr w:type="spellEnd"/>
            <w:r>
              <w:t xml:space="preserve"> models, the power parameter estimates were 1 (boundary of parameter space).For the Gamma model, the power parameter estimate was 1.  The model is equivalent to the </w:t>
            </w:r>
            <w:proofErr w:type="spellStart"/>
            <w:r>
              <w:t>Quantal</w:t>
            </w:r>
            <w:proofErr w:type="spellEnd"/>
            <w:r>
              <w:t>-Linear model.</w:t>
            </w:r>
          </w:p>
          <w:p w:rsidR="00836371" w:rsidRDefault="00836371" w:rsidP="00836371">
            <w:pPr>
              <w:pStyle w:val="TableNote"/>
            </w:pPr>
            <w:proofErr w:type="gramStart"/>
            <w:r w:rsidRPr="00836371">
              <w:rPr>
                <w:vertAlign w:val="superscript"/>
              </w:rPr>
              <w:t>c</w:t>
            </w:r>
            <w:proofErr w:type="gramEnd"/>
            <w:r>
              <w:t xml:space="preserve"> For the </w:t>
            </w:r>
            <w:proofErr w:type="spellStart"/>
            <w:r>
              <w:t>Weibull</w:t>
            </w:r>
            <w:proofErr w:type="spellEnd"/>
            <w:r>
              <w:t xml:space="preserve"> and Gamma models, the power parameter estimates were 1 (boundary of parameter space).For the </w:t>
            </w:r>
            <w:proofErr w:type="spellStart"/>
            <w:r>
              <w:t>Weibull</w:t>
            </w:r>
            <w:proofErr w:type="spellEnd"/>
            <w:r>
              <w:t xml:space="preserve"> model, the power parameter estimate was 1.  The models in this row reduced to the </w:t>
            </w:r>
            <w:proofErr w:type="spellStart"/>
            <w:r>
              <w:t>Quantal</w:t>
            </w:r>
            <w:proofErr w:type="spellEnd"/>
            <w:r>
              <w:t>-Linear model.</w:t>
            </w:r>
          </w:p>
          <w:p w:rsidR="00836371" w:rsidRDefault="00836371" w:rsidP="00836371">
            <w:pPr>
              <w:pStyle w:val="TableNote"/>
            </w:pPr>
            <w:proofErr w:type="gramStart"/>
            <w:r w:rsidRPr="00836371">
              <w:rPr>
                <w:vertAlign w:val="superscript"/>
              </w:rPr>
              <w:t>d</w:t>
            </w:r>
            <w:proofErr w:type="gramEnd"/>
            <w:r>
              <w:t xml:space="preserve"> For the Multistage 4° model, the beta coefficient estimates were 0 (boundary of parameters space).  The models in this row reduced to the Multistage 2° model.</w:t>
            </w:r>
          </w:p>
          <w:p w:rsidR="00836371" w:rsidRDefault="00836371" w:rsidP="00836371">
            <w:pPr>
              <w:pStyle w:val="TableNote"/>
            </w:pPr>
            <w:proofErr w:type="gramStart"/>
            <w:r w:rsidRPr="00836371">
              <w:rPr>
                <w:vertAlign w:val="superscript"/>
              </w:rPr>
              <w:t>e</w:t>
            </w:r>
            <w:proofErr w:type="gramEnd"/>
            <w:r>
              <w:t xml:space="preserve"> For the Multistage 3° model, the beta coefficient estimates were 0 (boundary of parameters space).  The models in this row reduced to the Multistage 2° model.</w:t>
            </w:r>
          </w:p>
        </w:tc>
      </w:tr>
    </w:tbl>
    <w:p w:rsidR="00836371" w:rsidRDefault="00836371" w:rsidP="00836371"/>
    <w:p w:rsidR="00836371" w:rsidRDefault="00B370EB" w:rsidP="00836371">
      <w:r>
        <w:t>Order the models are run in (for every report):</w:t>
      </w:r>
    </w:p>
    <w:tbl>
      <w:tblPr>
        <w:tblW w:w="1980" w:type="dxa"/>
        <w:tblInd w:w="113" w:type="dxa"/>
        <w:tblLook w:val="04A0" w:firstRow="1" w:lastRow="0" w:firstColumn="1" w:lastColumn="0" w:noHBand="0" w:noVBand="1"/>
      </w:tblPr>
      <w:tblGrid>
        <w:gridCol w:w="1980"/>
      </w:tblGrid>
      <w:tr w:rsidR="00B370EB" w:rsidRPr="00B370EB" w:rsidTr="00B370EB">
        <w:trPr>
          <w:trHeight w:val="13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E9D"/>
            <w:vAlign w:val="center"/>
            <w:hideMark/>
          </w:tcPr>
          <w:p w:rsidR="00B370EB" w:rsidRPr="00B370EB" w:rsidRDefault="00B370EB" w:rsidP="00B370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Model Type (comment includes graph)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Gamma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Dichotomous-Hill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Logistic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LogLogistic</w:t>
            </w:r>
            <w:proofErr w:type="spellEnd"/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Probit</w:t>
            </w:r>
            <w:proofErr w:type="spellEnd"/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LogProbit</w:t>
            </w:r>
            <w:proofErr w:type="spellEnd"/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Weibull</w:t>
            </w:r>
            <w:proofErr w:type="spellEnd"/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Multistage 4°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Multistage 3°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370EB">
              <w:rPr>
                <w:rFonts w:ascii="Arial" w:eastAsia="Times New Roman" w:hAnsi="Arial" w:cs="Arial"/>
                <w:sz w:val="20"/>
                <w:szCs w:val="20"/>
              </w:rPr>
              <w:t>Multistage 2°</w:t>
            </w:r>
          </w:p>
        </w:tc>
      </w:tr>
      <w:tr w:rsidR="00B370EB" w:rsidRPr="00B370EB" w:rsidTr="00B370EB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0EB" w:rsidRPr="00B370EB" w:rsidRDefault="00B370EB" w:rsidP="00B370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Quantal</w:t>
            </w:r>
            <w:proofErr w:type="spellEnd"/>
            <w:r w:rsidRPr="00B370EB">
              <w:rPr>
                <w:rFonts w:ascii="Arial" w:eastAsia="Times New Roman" w:hAnsi="Arial" w:cs="Arial"/>
                <w:sz w:val="20"/>
                <w:szCs w:val="20"/>
              </w:rPr>
              <w:t>-Linear</w:t>
            </w:r>
          </w:p>
        </w:tc>
      </w:tr>
    </w:tbl>
    <w:p w:rsidR="00B370EB" w:rsidRPr="00836371" w:rsidRDefault="00B370EB" w:rsidP="00836371"/>
    <w:sectPr w:rsidR="00B370EB" w:rsidRPr="00836371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5C" w:rsidRDefault="00354B5C" w:rsidP="0092473F">
      <w:r>
        <w:separator/>
      </w:r>
    </w:p>
  </w:endnote>
  <w:endnote w:type="continuationSeparator" w:id="0">
    <w:p w:rsidR="00354B5C" w:rsidRDefault="00354B5C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520E887C" wp14:editId="1296CE46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3E740302" wp14:editId="03A44AAF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5A02DA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5C" w:rsidRDefault="00354B5C" w:rsidP="0092473F">
      <w:r>
        <w:separator/>
      </w:r>
    </w:p>
  </w:footnote>
  <w:footnote w:type="continuationSeparator" w:id="0">
    <w:p w:rsidR="00354B5C" w:rsidRDefault="00354B5C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1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54B5C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A02DA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16F"/>
    <w:rsid w:val="007E5C0F"/>
    <w:rsid w:val="00836371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370EB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63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3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3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3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3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83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83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83637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63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3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3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3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3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83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83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83637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FF7D00-9848-41A3-9CEF-08B6271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5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12</vt:lpstr>
    </vt:vector>
  </TitlesOfParts>
  <Company>NIEHS</Company>
  <LinksUpToDate>false</LinksUpToDate>
  <CharactersWithSpaces>3259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12</dc:title>
  <dc:subject>Catlin NR. FoodChemToxicol. 2016</dc:subject>
  <dc:creator>Natasha Catlin</dc:creator>
  <cp:lastModifiedBy>Xiaohua Gao</cp:lastModifiedBy>
  <cp:revision>4</cp:revision>
  <dcterms:created xsi:type="dcterms:W3CDTF">2016-01-19T13:25:00Z</dcterms:created>
  <dcterms:modified xsi:type="dcterms:W3CDTF">2017-03-03T15:58:00Z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