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A3" w:rsidRPr="000562C8" w:rsidRDefault="00EB2430" w:rsidP="003D03A3">
      <w:pPr>
        <w:pStyle w:val="NoSpacing"/>
        <w:rPr>
          <w:rFonts w:ascii="Arial" w:hAnsi="Arial" w:cs="Arial"/>
          <w:sz w:val="24"/>
          <w:szCs w:val="24"/>
        </w:rPr>
      </w:pPr>
      <w:r w:rsidRPr="000562C8">
        <w:rPr>
          <w:rFonts w:ascii="Arial" w:hAnsi="Arial" w:cs="Arial"/>
          <w:b/>
          <w:sz w:val="24"/>
          <w:szCs w:val="24"/>
        </w:rPr>
        <w:t>Figure S</w:t>
      </w:r>
      <w:r w:rsidR="000562C8" w:rsidRPr="000562C8">
        <w:rPr>
          <w:rFonts w:ascii="Arial" w:hAnsi="Arial" w:cs="Arial"/>
          <w:b/>
          <w:sz w:val="24"/>
          <w:szCs w:val="24"/>
        </w:rPr>
        <w:t>-</w:t>
      </w:r>
      <w:r w:rsidR="00AD6CE3" w:rsidRPr="000562C8">
        <w:rPr>
          <w:rFonts w:ascii="Arial" w:hAnsi="Arial" w:cs="Arial"/>
          <w:b/>
          <w:sz w:val="24"/>
          <w:szCs w:val="24"/>
        </w:rPr>
        <w:t>6</w:t>
      </w:r>
      <w:r w:rsidR="003D03A3" w:rsidRPr="000562C8">
        <w:rPr>
          <w:rFonts w:ascii="Arial" w:hAnsi="Arial" w:cs="Arial"/>
          <w:b/>
          <w:sz w:val="24"/>
          <w:szCs w:val="24"/>
        </w:rPr>
        <w:t xml:space="preserve">.  </w:t>
      </w:r>
      <w:r w:rsidR="003D03A3" w:rsidRPr="000562C8">
        <w:rPr>
          <w:rFonts w:ascii="Arial" w:hAnsi="Arial" w:cs="Arial"/>
          <w:sz w:val="24"/>
          <w:szCs w:val="24"/>
        </w:rPr>
        <w:t>Comparison of RNA-Seq and Microarray data by Spearman correlation coefficient (r</w:t>
      </w:r>
      <w:r w:rsidR="003D03A3" w:rsidRPr="000562C8">
        <w:rPr>
          <w:rFonts w:ascii="Arial" w:hAnsi="Arial" w:cs="Arial"/>
          <w:sz w:val="24"/>
          <w:szCs w:val="24"/>
          <w:vertAlign w:val="subscript"/>
        </w:rPr>
        <w:t>s</w:t>
      </w:r>
      <w:r w:rsidR="003D03A3" w:rsidRPr="000562C8">
        <w:rPr>
          <w:rFonts w:ascii="Arial" w:hAnsi="Arial" w:cs="Arial"/>
          <w:sz w:val="24"/>
          <w:szCs w:val="24"/>
        </w:rPr>
        <w:t xml:space="preserve">) of each sample within </w:t>
      </w:r>
      <w:r w:rsidR="00E474DE" w:rsidRPr="000562C8">
        <w:rPr>
          <w:rFonts w:ascii="Arial" w:hAnsi="Arial" w:cs="Arial"/>
          <w:sz w:val="24"/>
          <w:szCs w:val="24"/>
        </w:rPr>
        <w:t xml:space="preserve">Aflatoxin B1 treated </w:t>
      </w:r>
      <w:r w:rsidR="003D03A3" w:rsidRPr="000562C8">
        <w:rPr>
          <w:rFonts w:ascii="Arial" w:hAnsi="Arial" w:cs="Arial"/>
          <w:sz w:val="24"/>
          <w:szCs w:val="24"/>
        </w:rPr>
        <w:t>animals.</w:t>
      </w:r>
    </w:p>
    <w:p w:rsidR="00E474DE" w:rsidRDefault="00E474DE" w:rsidP="003D03A3">
      <w:pPr>
        <w:pStyle w:val="NoSpacing"/>
      </w:pPr>
    </w:p>
    <w:p w:rsidR="003D03A3" w:rsidRDefault="00A90FDE" w:rsidP="003D03A3">
      <w:pPr>
        <w:pStyle w:val="NoSpacing"/>
      </w:pPr>
      <w:r>
        <w:rPr>
          <w:noProof/>
        </w:rPr>
        <w:drawing>
          <wp:inline distT="0" distB="0" distL="0" distR="0" wp14:anchorId="594B932C" wp14:editId="0A930F3B">
            <wp:extent cx="5943600" cy="61099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6109970"/>
                    </a:xfrm>
                    <a:prstGeom prst="rect">
                      <a:avLst/>
                    </a:prstGeom>
                  </pic:spPr>
                </pic:pic>
              </a:graphicData>
            </a:graphic>
          </wp:inline>
        </w:drawing>
      </w:r>
    </w:p>
    <w:p w:rsidR="003D03A3" w:rsidRDefault="003D03A3" w:rsidP="003D03A3">
      <w:pPr>
        <w:pStyle w:val="NoSpacing"/>
      </w:pPr>
    </w:p>
    <w:p w:rsidR="00AE0339" w:rsidRPr="00206BB2" w:rsidRDefault="00AE0339" w:rsidP="00AE0339">
      <w:pPr>
        <w:pStyle w:val="NoSpacing"/>
        <w:rPr>
          <w:rFonts w:asciiTheme="majorHAnsi" w:hAnsiTheme="majorHAnsi"/>
        </w:rPr>
      </w:pPr>
      <w:r w:rsidRPr="00206BB2">
        <w:rPr>
          <w:rFonts w:asciiTheme="majorHAnsi" w:hAnsiTheme="majorHAnsi"/>
        </w:rPr>
        <w:t xml:space="preserve">Correlation of </w:t>
      </w:r>
      <w:r w:rsidR="00986102" w:rsidRPr="00206BB2">
        <w:rPr>
          <w:rFonts w:asciiTheme="majorHAnsi" w:hAnsiTheme="majorHAnsi"/>
        </w:rPr>
        <w:t xml:space="preserve">transcript </w:t>
      </w:r>
      <w:r w:rsidRPr="00206BB2">
        <w:rPr>
          <w:rFonts w:asciiTheme="majorHAnsi" w:hAnsiTheme="majorHAnsi"/>
        </w:rPr>
        <w:t xml:space="preserve">expression between RNA-Seq (NextGen Sequencing, NGS; X-axis) and microarray (Microarray, MA; Y-axis) analysis in Aflatoxin B1 treated animals.  </w:t>
      </w:r>
      <w:r w:rsidR="00F8220A" w:rsidRPr="00206BB2">
        <w:rPr>
          <w:rFonts w:asciiTheme="majorHAnsi" w:hAnsiTheme="majorHAnsi"/>
        </w:rPr>
        <w:t>Each transcript was plotted as an x,y coordinate with a log2-transformed</w:t>
      </w:r>
      <w:r w:rsidR="00A90FDE" w:rsidRPr="00206BB2">
        <w:rPr>
          <w:rFonts w:asciiTheme="majorHAnsi" w:hAnsiTheme="majorHAnsi"/>
        </w:rPr>
        <w:t>, quantile normalized</w:t>
      </w:r>
      <w:r w:rsidR="00F8220A" w:rsidRPr="00206BB2">
        <w:rPr>
          <w:rFonts w:asciiTheme="majorHAnsi" w:hAnsiTheme="majorHAnsi"/>
        </w:rPr>
        <w:t xml:space="preserve"> RNA-Seq value on the x-axis and a log2 transformed</w:t>
      </w:r>
      <w:r w:rsidR="00A90FDE" w:rsidRPr="00206BB2">
        <w:rPr>
          <w:rFonts w:asciiTheme="majorHAnsi" w:hAnsiTheme="majorHAnsi"/>
        </w:rPr>
        <w:t>, quantile normalized</w:t>
      </w:r>
      <w:r w:rsidR="00F8220A" w:rsidRPr="00206BB2">
        <w:rPr>
          <w:rFonts w:asciiTheme="majorHAnsi" w:hAnsiTheme="majorHAnsi"/>
        </w:rPr>
        <w:t xml:space="preserve"> microarray value of that transcript</w:t>
      </w:r>
      <w:r w:rsidR="00986102" w:rsidRPr="00206BB2">
        <w:rPr>
          <w:rFonts w:asciiTheme="majorHAnsi" w:hAnsiTheme="majorHAnsi"/>
        </w:rPr>
        <w:t xml:space="preserve"> on the y-axis.  Expression of transcripts ranged from lowest in quartile 1 (Q1) to highest expression in quartile 4 (Q4).   </w:t>
      </w:r>
      <w:r w:rsidRPr="00206BB2">
        <w:rPr>
          <w:rFonts w:asciiTheme="majorHAnsi" w:hAnsiTheme="majorHAnsi"/>
        </w:rPr>
        <w:t>RNA-Seq data (NGS, Next Generation Sequencing) was first normalized by log2 transformation of raw read counts for Cufflinks assembled transcripts, an</w:t>
      </w:r>
      <w:r w:rsidR="00F8220A" w:rsidRPr="00206BB2">
        <w:rPr>
          <w:rFonts w:asciiTheme="majorHAnsi" w:hAnsiTheme="majorHAnsi"/>
        </w:rPr>
        <w:t>d then quartile normalized (</w:t>
      </w:r>
      <w:r w:rsidRPr="00206BB2">
        <w:rPr>
          <w:rFonts w:asciiTheme="majorHAnsi" w:hAnsiTheme="majorHAnsi"/>
        </w:rPr>
        <w:t>X-axis, Q1</w:t>
      </w:r>
      <w:r w:rsidRPr="00206BB2">
        <w:rPr>
          <w:rFonts w:asciiTheme="majorHAnsi" w:hAnsiTheme="majorHAnsi"/>
          <w:vertAlign w:val="superscript"/>
        </w:rPr>
        <w:t>NGS</w:t>
      </w:r>
      <w:r w:rsidRPr="00206BB2">
        <w:rPr>
          <w:rFonts w:asciiTheme="majorHAnsi" w:hAnsiTheme="majorHAnsi"/>
        </w:rPr>
        <w:t xml:space="preserve"> to Q4</w:t>
      </w:r>
      <w:r w:rsidRPr="00206BB2">
        <w:rPr>
          <w:rFonts w:asciiTheme="majorHAnsi" w:hAnsiTheme="majorHAnsi"/>
          <w:vertAlign w:val="superscript"/>
        </w:rPr>
        <w:t>NGS</w:t>
      </w:r>
      <w:r w:rsidRPr="00206BB2">
        <w:rPr>
          <w:rFonts w:asciiTheme="majorHAnsi" w:hAnsiTheme="majorHAnsi"/>
        </w:rPr>
        <w:t xml:space="preserve"> for each quartile plot). </w:t>
      </w:r>
      <w:r w:rsidR="00DA5B18" w:rsidRPr="00206BB2">
        <w:rPr>
          <w:rFonts w:asciiTheme="majorHAnsi" w:hAnsiTheme="majorHAnsi"/>
        </w:rPr>
        <w:t xml:space="preserve"> Note that the x-axis scale is 0 - 15 for Q1, Q2, Q3, and is 0 – 20 for Q4.  </w:t>
      </w:r>
      <w:r w:rsidRPr="00206BB2">
        <w:rPr>
          <w:rFonts w:asciiTheme="majorHAnsi" w:hAnsiTheme="majorHAnsi"/>
        </w:rPr>
        <w:t xml:space="preserve"> Microarray data (Microarray, MA) was normalized by feature </w:t>
      </w:r>
      <w:r w:rsidRPr="00206BB2">
        <w:rPr>
          <w:rFonts w:asciiTheme="majorHAnsi" w:hAnsiTheme="majorHAnsi"/>
        </w:rPr>
        <w:lastRenderedPageBreak/>
        <w:t>extraction of the raw microarray signal followed by log2-normalization and summarization for each probe using a median polish algorithm (e.g. Y-axis, Q1</w:t>
      </w:r>
      <w:r w:rsidRPr="00206BB2">
        <w:rPr>
          <w:rFonts w:asciiTheme="majorHAnsi" w:hAnsiTheme="majorHAnsi"/>
          <w:vertAlign w:val="superscript"/>
        </w:rPr>
        <w:t>MA</w:t>
      </w:r>
      <w:r w:rsidRPr="00206BB2">
        <w:rPr>
          <w:rFonts w:asciiTheme="majorHAnsi" w:hAnsiTheme="majorHAnsi"/>
        </w:rPr>
        <w:t xml:space="preserve"> to Q4</w:t>
      </w:r>
      <w:r w:rsidRPr="00206BB2">
        <w:rPr>
          <w:rFonts w:asciiTheme="majorHAnsi" w:hAnsiTheme="majorHAnsi"/>
          <w:vertAlign w:val="superscript"/>
        </w:rPr>
        <w:t>MA</w:t>
      </w:r>
      <w:r w:rsidRPr="00206BB2">
        <w:rPr>
          <w:rFonts w:asciiTheme="majorHAnsi" w:hAnsiTheme="majorHAnsi"/>
        </w:rPr>
        <w:t xml:space="preserve"> for each quartile plot).  </w:t>
      </w:r>
      <w:r w:rsidR="001150C6" w:rsidRPr="00206BB2">
        <w:rPr>
          <w:rFonts w:asciiTheme="majorHAnsi" w:hAnsiTheme="majorHAnsi"/>
        </w:rPr>
        <w:t xml:space="preserve">Note that the y-axis scale for log2 values varies slightly for each quartile in order to fit in all data points; approximately 4- 10 for Q1;  4-14 for Q2;  4-12 for Q3, and 6-16 for Q4.  </w:t>
      </w:r>
      <w:r w:rsidRPr="00206BB2">
        <w:rPr>
          <w:rFonts w:asciiTheme="majorHAnsi" w:hAnsiTheme="majorHAnsi"/>
        </w:rPr>
        <w:t xml:space="preserve">The signal from </w:t>
      </w:r>
      <w:bookmarkStart w:id="0" w:name="_GoBack"/>
      <w:bookmarkEnd w:id="0"/>
      <w:r w:rsidRPr="00206BB2">
        <w:rPr>
          <w:rFonts w:asciiTheme="majorHAnsi" w:hAnsiTheme="majorHAnsi"/>
        </w:rPr>
        <w:t xml:space="preserve">multiple probes overlapping the Cufflink was summarized using median polish algorithm.  Thus, for each Cufflinks transcript that overlapped one or more microarray probes, the microarray signal, AFB1 </w:t>
      </w:r>
      <w:r w:rsidR="00DE0667" w:rsidRPr="00206BB2">
        <w:rPr>
          <w:rFonts w:asciiTheme="majorHAnsi" w:hAnsiTheme="majorHAnsi"/>
        </w:rPr>
        <w:t>vs.</w:t>
      </w:r>
      <w:r w:rsidRPr="00206BB2">
        <w:rPr>
          <w:rFonts w:asciiTheme="majorHAnsi" w:hAnsiTheme="majorHAnsi"/>
        </w:rPr>
        <w:t xml:space="preserve"> control fold and p value was obtained.  In order to combine RNA-Seq and microarray data, only those Cufflinks transcripts were used that had non-zero RNA-Seq signal and overlapped with 1 or more microarray probes. The data was divided into 4 quartiles and ranked on the basis of the average control signal (across replicates) in the microarray platform.   The Spearman (Rank) correlation statistic (bold number at upper left of each quartile comparison), and corresponding asymptotic p-values (* indicates p&lt;0.001) based on t-approximation were computed. </w:t>
      </w:r>
    </w:p>
    <w:p w:rsidR="004F3B9C" w:rsidRDefault="004F3B9C" w:rsidP="004A5AF8">
      <w:pPr>
        <w:pStyle w:val="NoSpacing"/>
      </w:pPr>
    </w:p>
    <w:p w:rsidR="00E21009" w:rsidRDefault="00E21009"/>
    <w:sectPr w:rsidR="00E21009" w:rsidSect="00FE0A75">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62E5A"/>
    <w:multiLevelType w:val="hybridMultilevel"/>
    <w:tmpl w:val="3E74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F8"/>
    <w:rsid w:val="00002E21"/>
    <w:rsid w:val="00014E85"/>
    <w:rsid w:val="000333E1"/>
    <w:rsid w:val="000562C8"/>
    <w:rsid w:val="00074181"/>
    <w:rsid w:val="00082549"/>
    <w:rsid w:val="000A46A5"/>
    <w:rsid w:val="000D54A4"/>
    <w:rsid w:val="001123B7"/>
    <w:rsid w:val="001150C6"/>
    <w:rsid w:val="001306D4"/>
    <w:rsid w:val="00135C6F"/>
    <w:rsid w:val="0014544D"/>
    <w:rsid w:val="00166390"/>
    <w:rsid w:val="0017593A"/>
    <w:rsid w:val="00206BB2"/>
    <w:rsid w:val="00260539"/>
    <w:rsid w:val="002629AE"/>
    <w:rsid w:val="00270522"/>
    <w:rsid w:val="00292BB7"/>
    <w:rsid w:val="002A7083"/>
    <w:rsid w:val="002C2DC9"/>
    <w:rsid w:val="002F52C9"/>
    <w:rsid w:val="002F6F59"/>
    <w:rsid w:val="00312353"/>
    <w:rsid w:val="003146E6"/>
    <w:rsid w:val="00325769"/>
    <w:rsid w:val="00326987"/>
    <w:rsid w:val="003456F9"/>
    <w:rsid w:val="00370968"/>
    <w:rsid w:val="003B3790"/>
    <w:rsid w:val="003D03A3"/>
    <w:rsid w:val="003D0616"/>
    <w:rsid w:val="003F5D3D"/>
    <w:rsid w:val="004024BC"/>
    <w:rsid w:val="004249D6"/>
    <w:rsid w:val="00427749"/>
    <w:rsid w:val="0046287D"/>
    <w:rsid w:val="00471B50"/>
    <w:rsid w:val="004741D3"/>
    <w:rsid w:val="00485BB4"/>
    <w:rsid w:val="00485FBA"/>
    <w:rsid w:val="004A017B"/>
    <w:rsid w:val="004A5AF8"/>
    <w:rsid w:val="004B16E4"/>
    <w:rsid w:val="004C55E1"/>
    <w:rsid w:val="004F3B9C"/>
    <w:rsid w:val="00505527"/>
    <w:rsid w:val="00505DF2"/>
    <w:rsid w:val="00522443"/>
    <w:rsid w:val="00556DE1"/>
    <w:rsid w:val="005663A1"/>
    <w:rsid w:val="00571A4E"/>
    <w:rsid w:val="005B6783"/>
    <w:rsid w:val="005D76A9"/>
    <w:rsid w:val="00607A12"/>
    <w:rsid w:val="00681919"/>
    <w:rsid w:val="00682D60"/>
    <w:rsid w:val="0069576C"/>
    <w:rsid w:val="006B762D"/>
    <w:rsid w:val="006D155F"/>
    <w:rsid w:val="006F42D5"/>
    <w:rsid w:val="0070694A"/>
    <w:rsid w:val="007327D5"/>
    <w:rsid w:val="00753F9B"/>
    <w:rsid w:val="00763208"/>
    <w:rsid w:val="00790140"/>
    <w:rsid w:val="00791CC6"/>
    <w:rsid w:val="007C00D3"/>
    <w:rsid w:val="007C40BD"/>
    <w:rsid w:val="007D1297"/>
    <w:rsid w:val="00804F39"/>
    <w:rsid w:val="008D516D"/>
    <w:rsid w:val="008E7FA9"/>
    <w:rsid w:val="008F6B6B"/>
    <w:rsid w:val="00926D7D"/>
    <w:rsid w:val="00986102"/>
    <w:rsid w:val="00991400"/>
    <w:rsid w:val="009A6242"/>
    <w:rsid w:val="009B3290"/>
    <w:rsid w:val="009B46C9"/>
    <w:rsid w:val="009B6971"/>
    <w:rsid w:val="009D2430"/>
    <w:rsid w:val="009E6C3D"/>
    <w:rsid w:val="00A051E7"/>
    <w:rsid w:val="00A6133C"/>
    <w:rsid w:val="00A635D2"/>
    <w:rsid w:val="00A63A33"/>
    <w:rsid w:val="00A85EC9"/>
    <w:rsid w:val="00A90FDE"/>
    <w:rsid w:val="00AB18E9"/>
    <w:rsid w:val="00AB40B7"/>
    <w:rsid w:val="00AB49E9"/>
    <w:rsid w:val="00AB7F82"/>
    <w:rsid w:val="00AC6508"/>
    <w:rsid w:val="00AD2998"/>
    <w:rsid w:val="00AD6CE3"/>
    <w:rsid w:val="00AE0339"/>
    <w:rsid w:val="00AF19F4"/>
    <w:rsid w:val="00AF5D7B"/>
    <w:rsid w:val="00B11CC0"/>
    <w:rsid w:val="00B36531"/>
    <w:rsid w:val="00B50615"/>
    <w:rsid w:val="00B63EF9"/>
    <w:rsid w:val="00B6577F"/>
    <w:rsid w:val="00B72502"/>
    <w:rsid w:val="00BB6322"/>
    <w:rsid w:val="00BD64FD"/>
    <w:rsid w:val="00BE6901"/>
    <w:rsid w:val="00C00F5E"/>
    <w:rsid w:val="00C4015E"/>
    <w:rsid w:val="00C65576"/>
    <w:rsid w:val="00CA1A25"/>
    <w:rsid w:val="00CC42BD"/>
    <w:rsid w:val="00CD43C7"/>
    <w:rsid w:val="00CF42DD"/>
    <w:rsid w:val="00D02196"/>
    <w:rsid w:val="00D14392"/>
    <w:rsid w:val="00D31FEA"/>
    <w:rsid w:val="00D947B4"/>
    <w:rsid w:val="00D96D9A"/>
    <w:rsid w:val="00DA5B18"/>
    <w:rsid w:val="00DA7746"/>
    <w:rsid w:val="00DB6667"/>
    <w:rsid w:val="00DC03FF"/>
    <w:rsid w:val="00DD0AD4"/>
    <w:rsid w:val="00DE0667"/>
    <w:rsid w:val="00DF65B1"/>
    <w:rsid w:val="00E10B17"/>
    <w:rsid w:val="00E21009"/>
    <w:rsid w:val="00E30631"/>
    <w:rsid w:val="00E474DE"/>
    <w:rsid w:val="00E75570"/>
    <w:rsid w:val="00E933D4"/>
    <w:rsid w:val="00EB2430"/>
    <w:rsid w:val="00EC21C5"/>
    <w:rsid w:val="00F1549D"/>
    <w:rsid w:val="00F310FF"/>
    <w:rsid w:val="00F32C12"/>
    <w:rsid w:val="00F8220A"/>
    <w:rsid w:val="00FB551F"/>
    <w:rsid w:val="00FE0A75"/>
    <w:rsid w:val="00FE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AF8"/>
    <w:pPr>
      <w:spacing w:after="0" w:line="240" w:lineRule="auto"/>
    </w:pPr>
  </w:style>
  <w:style w:type="paragraph" w:styleId="BalloonText">
    <w:name w:val="Balloon Text"/>
    <w:basedOn w:val="Normal"/>
    <w:link w:val="BalloonTextChar"/>
    <w:uiPriority w:val="99"/>
    <w:semiHidden/>
    <w:unhideWhenUsed/>
    <w:rsid w:val="004A5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F8"/>
    <w:rPr>
      <w:rFonts w:ascii="Tahoma" w:hAnsi="Tahoma" w:cs="Tahoma"/>
      <w:sz w:val="16"/>
      <w:szCs w:val="16"/>
    </w:rPr>
  </w:style>
  <w:style w:type="paragraph" w:styleId="NormalWeb">
    <w:name w:val="Normal (Web)"/>
    <w:basedOn w:val="Normal"/>
    <w:uiPriority w:val="99"/>
    <w:semiHidden/>
    <w:unhideWhenUsed/>
    <w:rsid w:val="003146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2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5769"/>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325769"/>
    <w:rPr>
      <w:rFonts w:ascii="Courier New" w:eastAsia="Times New Roman" w:hAnsi="Courier New" w:cs="Courier New"/>
      <w:sz w:val="20"/>
      <w:szCs w:val="20"/>
    </w:rPr>
  </w:style>
  <w:style w:type="character" w:customStyle="1" w:styleId="searchresultsdatabodygc">
    <w:name w:val="search_results_data_body_gc"/>
    <w:basedOn w:val="DefaultParagraphFont"/>
    <w:rsid w:val="00B72502"/>
  </w:style>
  <w:style w:type="character" w:styleId="Strong">
    <w:name w:val="Strong"/>
    <w:basedOn w:val="DefaultParagraphFont"/>
    <w:uiPriority w:val="22"/>
    <w:qFormat/>
    <w:rsid w:val="004741D3"/>
    <w:rPr>
      <w:b/>
      <w:bCs/>
    </w:rPr>
  </w:style>
  <w:style w:type="character" w:styleId="Hyperlink">
    <w:name w:val="Hyperlink"/>
    <w:basedOn w:val="DefaultParagraphFont"/>
    <w:uiPriority w:val="99"/>
    <w:unhideWhenUsed/>
    <w:rsid w:val="00DC03FF"/>
    <w:rPr>
      <w:color w:val="0000FF" w:themeColor="hyperlink"/>
      <w:u w:val="single"/>
    </w:rPr>
  </w:style>
  <w:style w:type="character" w:styleId="FollowedHyperlink">
    <w:name w:val="FollowedHyperlink"/>
    <w:basedOn w:val="DefaultParagraphFont"/>
    <w:uiPriority w:val="99"/>
    <w:semiHidden/>
    <w:unhideWhenUsed/>
    <w:rsid w:val="007C40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AF8"/>
    <w:pPr>
      <w:spacing w:after="0" w:line="240" w:lineRule="auto"/>
    </w:pPr>
  </w:style>
  <w:style w:type="paragraph" w:styleId="BalloonText">
    <w:name w:val="Balloon Text"/>
    <w:basedOn w:val="Normal"/>
    <w:link w:val="BalloonTextChar"/>
    <w:uiPriority w:val="99"/>
    <w:semiHidden/>
    <w:unhideWhenUsed/>
    <w:rsid w:val="004A5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F8"/>
    <w:rPr>
      <w:rFonts w:ascii="Tahoma" w:hAnsi="Tahoma" w:cs="Tahoma"/>
      <w:sz w:val="16"/>
      <w:szCs w:val="16"/>
    </w:rPr>
  </w:style>
  <w:style w:type="paragraph" w:styleId="NormalWeb">
    <w:name w:val="Normal (Web)"/>
    <w:basedOn w:val="Normal"/>
    <w:uiPriority w:val="99"/>
    <w:semiHidden/>
    <w:unhideWhenUsed/>
    <w:rsid w:val="003146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2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5769"/>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325769"/>
    <w:rPr>
      <w:rFonts w:ascii="Courier New" w:eastAsia="Times New Roman" w:hAnsi="Courier New" w:cs="Courier New"/>
      <w:sz w:val="20"/>
      <w:szCs w:val="20"/>
    </w:rPr>
  </w:style>
  <w:style w:type="character" w:customStyle="1" w:styleId="searchresultsdatabodygc">
    <w:name w:val="search_results_data_body_gc"/>
    <w:basedOn w:val="DefaultParagraphFont"/>
    <w:rsid w:val="00B72502"/>
  </w:style>
  <w:style w:type="character" w:styleId="Strong">
    <w:name w:val="Strong"/>
    <w:basedOn w:val="DefaultParagraphFont"/>
    <w:uiPriority w:val="22"/>
    <w:qFormat/>
    <w:rsid w:val="004741D3"/>
    <w:rPr>
      <w:b/>
      <w:bCs/>
    </w:rPr>
  </w:style>
  <w:style w:type="character" w:styleId="Hyperlink">
    <w:name w:val="Hyperlink"/>
    <w:basedOn w:val="DefaultParagraphFont"/>
    <w:uiPriority w:val="99"/>
    <w:unhideWhenUsed/>
    <w:rsid w:val="00DC03FF"/>
    <w:rPr>
      <w:color w:val="0000FF" w:themeColor="hyperlink"/>
      <w:u w:val="single"/>
    </w:rPr>
  </w:style>
  <w:style w:type="character" w:styleId="FollowedHyperlink">
    <w:name w:val="FollowedHyperlink"/>
    <w:basedOn w:val="DefaultParagraphFont"/>
    <w:uiPriority w:val="99"/>
    <w:semiHidden/>
    <w:unhideWhenUsed/>
    <w:rsid w:val="007C4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50">
      <w:bodyDiv w:val="1"/>
      <w:marLeft w:val="0"/>
      <w:marRight w:val="0"/>
      <w:marTop w:val="0"/>
      <w:marBottom w:val="0"/>
      <w:divBdr>
        <w:top w:val="none" w:sz="0" w:space="0" w:color="auto"/>
        <w:left w:val="none" w:sz="0" w:space="0" w:color="auto"/>
        <w:bottom w:val="none" w:sz="0" w:space="0" w:color="auto"/>
        <w:right w:val="none" w:sz="0" w:space="0" w:color="auto"/>
      </w:divBdr>
    </w:div>
    <w:div w:id="181359792">
      <w:bodyDiv w:val="1"/>
      <w:marLeft w:val="0"/>
      <w:marRight w:val="0"/>
      <w:marTop w:val="0"/>
      <w:marBottom w:val="0"/>
      <w:divBdr>
        <w:top w:val="none" w:sz="0" w:space="0" w:color="auto"/>
        <w:left w:val="none" w:sz="0" w:space="0" w:color="auto"/>
        <w:bottom w:val="none" w:sz="0" w:space="0" w:color="auto"/>
        <w:right w:val="none" w:sz="0" w:space="0" w:color="auto"/>
      </w:divBdr>
    </w:div>
    <w:div w:id="662974075">
      <w:bodyDiv w:val="1"/>
      <w:marLeft w:val="0"/>
      <w:marRight w:val="0"/>
      <w:marTop w:val="0"/>
      <w:marBottom w:val="0"/>
      <w:divBdr>
        <w:top w:val="none" w:sz="0" w:space="0" w:color="auto"/>
        <w:left w:val="none" w:sz="0" w:space="0" w:color="auto"/>
        <w:bottom w:val="none" w:sz="0" w:space="0" w:color="auto"/>
        <w:right w:val="none" w:sz="0" w:space="0" w:color="auto"/>
      </w:divBdr>
    </w:div>
    <w:div w:id="1091588488">
      <w:bodyDiv w:val="1"/>
      <w:marLeft w:val="0"/>
      <w:marRight w:val="0"/>
      <w:marTop w:val="0"/>
      <w:marBottom w:val="0"/>
      <w:divBdr>
        <w:top w:val="none" w:sz="0" w:space="0" w:color="auto"/>
        <w:left w:val="none" w:sz="0" w:space="0" w:color="auto"/>
        <w:bottom w:val="none" w:sz="0" w:space="0" w:color="auto"/>
        <w:right w:val="none" w:sz="0" w:space="0" w:color="auto"/>
      </w:divBdr>
    </w:div>
    <w:div w:id="1319336757">
      <w:bodyDiv w:val="1"/>
      <w:marLeft w:val="0"/>
      <w:marRight w:val="0"/>
      <w:marTop w:val="0"/>
      <w:marBottom w:val="0"/>
      <w:divBdr>
        <w:top w:val="none" w:sz="0" w:space="0" w:color="auto"/>
        <w:left w:val="none" w:sz="0" w:space="0" w:color="auto"/>
        <w:bottom w:val="none" w:sz="0" w:space="0" w:color="auto"/>
        <w:right w:val="none" w:sz="0" w:space="0" w:color="auto"/>
      </w:divBdr>
      <w:divsChild>
        <w:div w:id="1700231846">
          <w:marLeft w:val="0"/>
          <w:marRight w:val="1"/>
          <w:marTop w:val="0"/>
          <w:marBottom w:val="0"/>
          <w:divBdr>
            <w:top w:val="none" w:sz="0" w:space="0" w:color="auto"/>
            <w:left w:val="none" w:sz="0" w:space="0" w:color="auto"/>
            <w:bottom w:val="none" w:sz="0" w:space="0" w:color="auto"/>
            <w:right w:val="none" w:sz="0" w:space="0" w:color="auto"/>
          </w:divBdr>
          <w:divsChild>
            <w:div w:id="323826818">
              <w:marLeft w:val="0"/>
              <w:marRight w:val="0"/>
              <w:marTop w:val="0"/>
              <w:marBottom w:val="0"/>
              <w:divBdr>
                <w:top w:val="none" w:sz="0" w:space="0" w:color="auto"/>
                <w:left w:val="none" w:sz="0" w:space="0" w:color="auto"/>
                <w:bottom w:val="none" w:sz="0" w:space="0" w:color="auto"/>
                <w:right w:val="none" w:sz="0" w:space="0" w:color="auto"/>
              </w:divBdr>
              <w:divsChild>
                <w:div w:id="2002998715">
                  <w:marLeft w:val="0"/>
                  <w:marRight w:val="1"/>
                  <w:marTop w:val="0"/>
                  <w:marBottom w:val="0"/>
                  <w:divBdr>
                    <w:top w:val="none" w:sz="0" w:space="0" w:color="auto"/>
                    <w:left w:val="none" w:sz="0" w:space="0" w:color="auto"/>
                    <w:bottom w:val="none" w:sz="0" w:space="0" w:color="auto"/>
                    <w:right w:val="none" w:sz="0" w:space="0" w:color="auto"/>
                  </w:divBdr>
                  <w:divsChild>
                    <w:div w:id="973604958">
                      <w:marLeft w:val="0"/>
                      <w:marRight w:val="0"/>
                      <w:marTop w:val="0"/>
                      <w:marBottom w:val="0"/>
                      <w:divBdr>
                        <w:top w:val="none" w:sz="0" w:space="0" w:color="auto"/>
                        <w:left w:val="none" w:sz="0" w:space="0" w:color="auto"/>
                        <w:bottom w:val="none" w:sz="0" w:space="0" w:color="auto"/>
                        <w:right w:val="none" w:sz="0" w:space="0" w:color="auto"/>
                      </w:divBdr>
                      <w:divsChild>
                        <w:div w:id="1175921815">
                          <w:marLeft w:val="0"/>
                          <w:marRight w:val="0"/>
                          <w:marTop w:val="120"/>
                          <w:marBottom w:val="360"/>
                          <w:divBdr>
                            <w:top w:val="none" w:sz="0" w:space="0" w:color="auto"/>
                            <w:left w:val="none" w:sz="0" w:space="0" w:color="auto"/>
                            <w:bottom w:val="none" w:sz="0" w:space="0" w:color="auto"/>
                            <w:right w:val="none" w:sz="0" w:space="0" w:color="auto"/>
                          </w:divBdr>
                          <w:divsChild>
                            <w:div w:id="1492912314">
                              <w:marLeft w:val="0"/>
                              <w:marRight w:val="0"/>
                              <w:marTop w:val="0"/>
                              <w:marBottom w:val="0"/>
                              <w:divBdr>
                                <w:top w:val="none" w:sz="0" w:space="0" w:color="auto"/>
                                <w:left w:val="none" w:sz="0" w:space="0" w:color="auto"/>
                                <w:bottom w:val="none" w:sz="0" w:space="0" w:color="auto"/>
                                <w:right w:val="none" w:sz="0" w:space="0" w:color="auto"/>
                              </w:divBdr>
                              <w:divsChild>
                                <w:div w:id="1649937531">
                                  <w:marLeft w:val="0"/>
                                  <w:marRight w:val="0"/>
                                  <w:marTop w:val="0"/>
                                  <w:marBottom w:val="0"/>
                                  <w:divBdr>
                                    <w:top w:val="none" w:sz="0" w:space="0" w:color="auto"/>
                                    <w:left w:val="none" w:sz="0" w:space="0" w:color="auto"/>
                                    <w:bottom w:val="none" w:sz="0" w:space="0" w:color="auto"/>
                                    <w:right w:val="none" w:sz="0" w:space="0" w:color="auto"/>
                                  </w:divBdr>
                                  <w:divsChild>
                                    <w:div w:id="1811289882">
                                      <w:marLeft w:val="0"/>
                                      <w:marRight w:val="0"/>
                                      <w:marTop w:val="0"/>
                                      <w:marBottom w:val="0"/>
                                      <w:divBdr>
                                        <w:top w:val="none" w:sz="0" w:space="0" w:color="auto"/>
                                        <w:left w:val="none" w:sz="0" w:space="0" w:color="auto"/>
                                        <w:bottom w:val="none" w:sz="0" w:space="0" w:color="auto"/>
                                        <w:right w:val="none" w:sz="0" w:space="0" w:color="auto"/>
                                      </w:divBdr>
                                      <w:divsChild>
                                        <w:div w:id="18693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916141">
      <w:bodyDiv w:val="1"/>
      <w:marLeft w:val="0"/>
      <w:marRight w:val="0"/>
      <w:marTop w:val="0"/>
      <w:marBottom w:val="0"/>
      <w:divBdr>
        <w:top w:val="none" w:sz="0" w:space="0" w:color="auto"/>
        <w:left w:val="none" w:sz="0" w:space="0" w:color="auto"/>
        <w:bottom w:val="none" w:sz="0" w:space="0" w:color="auto"/>
        <w:right w:val="none" w:sz="0" w:space="0" w:color="auto"/>
      </w:divBdr>
    </w:div>
    <w:div w:id="1675183237">
      <w:bodyDiv w:val="1"/>
      <w:marLeft w:val="0"/>
      <w:marRight w:val="0"/>
      <w:marTop w:val="0"/>
      <w:marBottom w:val="0"/>
      <w:divBdr>
        <w:top w:val="none" w:sz="0" w:space="0" w:color="auto"/>
        <w:left w:val="none" w:sz="0" w:space="0" w:color="auto"/>
        <w:bottom w:val="none" w:sz="0" w:space="0" w:color="auto"/>
        <w:right w:val="none" w:sz="0" w:space="0" w:color="auto"/>
      </w:divBdr>
    </w:div>
    <w:div w:id="1883319488">
      <w:bodyDiv w:val="1"/>
      <w:marLeft w:val="0"/>
      <w:marRight w:val="0"/>
      <w:marTop w:val="0"/>
      <w:marBottom w:val="0"/>
      <w:divBdr>
        <w:top w:val="none" w:sz="0" w:space="0" w:color="auto"/>
        <w:left w:val="none" w:sz="0" w:space="0" w:color="auto"/>
        <w:bottom w:val="none" w:sz="0" w:space="0" w:color="auto"/>
        <w:right w:val="none" w:sz="0" w:space="0" w:color="auto"/>
      </w:divBdr>
    </w:div>
    <w:div w:id="1907447739">
      <w:bodyDiv w:val="1"/>
      <w:marLeft w:val="0"/>
      <w:marRight w:val="0"/>
      <w:marTop w:val="0"/>
      <w:marBottom w:val="0"/>
      <w:divBdr>
        <w:top w:val="none" w:sz="0" w:space="0" w:color="auto"/>
        <w:left w:val="none" w:sz="0" w:space="0" w:color="auto"/>
        <w:bottom w:val="none" w:sz="0" w:space="0" w:color="auto"/>
        <w:right w:val="none" w:sz="0" w:space="0" w:color="auto"/>
      </w:divBdr>
    </w:div>
    <w:div w:id="1983802729">
      <w:bodyDiv w:val="1"/>
      <w:marLeft w:val="0"/>
      <w:marRight w:val="0"/>
      <w:marTop w:val="0"/>
      <w:marBottom w:val="0"/>
      <w:divBdr>
        <w:top w:val="none" w:sz="0" w:space="0" w:color="auto"/>
        <w:left w:val="none" w:sz="0" w:space="0" w:color="auto"/>
        <w:bottom w:val="none" w:sz="0" w:space="0" w:color="auto"/>
        <w:right w:val="none" w:sz="0" w:space="0" w:color="auto"/>
      </w:divBdr>
    </w:div>
    <w:div w:id="2024671843">
      <w:bodyDiv w:val="1"/>
      <w:marLeft w:val="0"/>
      <w:marRight w:val="0"/>
      <w:marTop w:val="0"/>
      <w:marBottom w:val="0"/>
      <w:divBdr>
        <w:top w:val="none" w:sz="0" w:space="0" w:color="auto"/>
        <w:left w:val="none" w:sz="0" w:space="0" w:color="auto"/>
        <w:bottom w:val="none" w:sz="0" w:space="0" w:color="auto"/>
        <w:right w:val="none" w:sz="0" w:space="0" w:color="auto"/>
      </w:divBdr>
    </w:div>
    <w:div w:id="2041852230">
      <w:bodyDiv w:val="1"/>
      <w:marLeft w:val="0"/>
      <w:marRight w:val="0"/>
      <w:marTop w:val="0"/>
      <w:marBottom w:val="0"/>
      <w:divBdr>
        <w:top w:val="none" w:sz="0" w:space="0" w:color="auto"/>
        <w:left w:val="none" w:sz="0" w:space="0" w:color="auto"/>
        <w:bottom w:val="none" w:sz="0" w:space="0" w:color="auto"/>
        <w:right w:val="none" w:sz="0" w:space="0" w:color="auto"/>
      </w:divBdr>
    </w:div>
    <w:div w:id="20505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NIEHS</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S6</dc:title>
  <dc:subject>Merrick BA_PloSOne 2013</dc:subject>
  <dc:creator>Merrick, Alex (NIH/NIEHS) [E]</dc:creator>
  <cp:lastModifiedBy>Merrick, Alex (NIH/NIEHS) [E]</cp:lastModifiedBy>
  <cp:revision>5</cp:revision>
  <cp:lastPrinted>2012-09-11T17:37:00Z</cp:lastPrinted>
  <dcterms:created xsi:type="dcterms:W3CDTF">2013-03-21T14:15:00Z</dcterms:created>
  <dcterms:modified xsi:type="dcterms:W3CDTF">2013-03-21T14:36:00Z</dcterms:modified>
</cp:coreProperties>
</file>